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D7" w:rsidRDefault="00311A28">
      <w:pPr>
        <w:widowControl/>
        <w:shd w:val="clear" w:color="auto" w:fill="auto"/>
        <w:autoSpaceDE/>
        <w:autoSpaceDN/>
        <w:adjustRightInd/>
        <w:jc w:val="right"/>
        <w:rPr>
          <w:rFonts w:ascii="Arial" w:eastAsia="Times New Roman" w:hAnsi="Arial"/>
          <w:b/>
          <w:color w:val="000000"/>
        </w:rPr>
      </w:pPr>
      <w:r>
        <w:rPr>
          <w:rFonts w:ascii="Arial" w:eastAsia="Times New Roman" w:hAnsi="Arial"/>
          <w:b/>
          <w:color w:val="000000"/>
        </w:rPr>
        <w:t>APPENDIX 1</w:t>
      </w:r>
    </w:p>
    <w:p w:rsidR="00A352D7" w:rsidRDefault="00A352D7">
      <w:pPr>
        <w:widowControl/>
        <w:shd w:val="clear" w:color="auto" w:fill="auto"/>
        <w:autoSpaceDE/>
        <w:autoSpaceDN/>
        <w:adjustRightInd/>
        <w:jc w:val="right"/>
        <w:rPr>
          <w:rFonts w:ascii="Arial" w:eastAsia="Times New Roman" w:hAnsi="Arial"/>
          <w:b/>
          <w:color w:val="000000"/>
        </w:rPr>
      </w:pPr>
    </w:p>
    <w:p w:rsidR="00A352D7" w:rsidRDefault="00A352D7">
      <w:pPr>
        <w:widowControl/>
        <w:shd w:val="clear" w:color="auto" w:fill="auto"/>
        <w:autoSpaceDE/>
        <w:autoSpaceDN/>
        <w:adjustRightInd/>
        <w:jc w:val="right"/>
        <w:rPr>
          <w:rFonts w:ascii="Arial" w:eastAsia="Times New Roman" w:hAnsi="Arial"/>
          <w:b/>
          <w:color w:val="000000"/>
        </w:rPr>
      </w:pPr>
    </w:p>
    <w:p w:rsidR="00A352D7" w:rsidRDefault="00311A28">
      <w:pPr>
        <w:widowControl/>
        <w:shd w:val="clear" w:color="auto" w:fill="auto"/>
        <w:autoSpaceDE/>
        <w:autoSpaceDN/>
        <w:adjustRightInd/>
        <w:jc w:val="center"/>
        <w:rPr>
          <w:rFonts w:ascii="Arial" w:eastAsia="Times New Roman" w:hAnsi="Arial"/>
          <w:b/>
          <w:color w:val="000000"/>
        </w:rPr>
      </w:pPr>
      <w:r>
        <w:rPr>
          <w:rFonts w:ascii="Arial" w:eastAsia="Times New Roman" w:hAnsi="Arial"/>
          <w:b/>
          <w:color w:val="000000"/>
        </w:rPr>
        <w:t>APPLICANT’S SUGGESTED REVISIONS TO</w:t>
      </w:r>
    </w:p>
    <w:p w:rsidR="00A352D7" w:rsidRDefault="00311A28">
      <w:pPr>
        <w:widowControl/>
        <w:shd w:val="clear" w:color="auto" w:fill="auto"/>
        <w:autoSpaceDE/>
        <w:autoSpaceDN/>
        <w:adjustRightInd/>
        <w:jc w:val="center"/>
        <w:rPr>
          <w:rFonts w:ascii="Arial" w:eastAsia="Times New Roman" w:hAnsi="Arial"/>
          <w:b/>
          <w:color w:val="000000"/>
        </w:rPr>
      </w:pPr>
      <w:r>
        <w:rPr>
          <w:rFonts w:ascii="Arial" w:eastAsia="Times New Roman" w:hAnsi="Arial"/>
          <w:b/>
          <w:color w:val="000000"/>
        </w:rPr>
        <w:t>STAFF’S DRAFT PROPOSED DEVELOPMENT CONDITIONS DATED 1/13/2014</w:t>
      </w:r>
    </w:p>
    <w:p w:rsidR="00A352D7" w:rsidRDefault="00A352D7">
      <w:pPr>
        <w:widowControl/>
        <w:shd w:val="clear" w:color="auto" w:fill="auto"/>
        <w:autoSpaceDE/>
        <w:autoSpaceDN/>
        <w:adjustRightInd/>
        <w:jc w:val="center"/>
        <w:rPr>
          <w:rFonts w:ascii="Arial" w:eastAsia="Times New Roman" w:hAnsi="Arial"/>
          <w:b/>
          <w:color w:val="000000"/>
        </w:rPr>
      </w:pPr>
    </w:p>
    <w:p w:rsidR="00A352D7" w:rsidRDefault="00311A28">
      <w:pPr>
        <w:widowControl/>
        <w:shd w:val="clear" w:color="auto" w:fill="auto"/>
        <w:autoSpaceDE/>
        <w:autoSpaceDN/>
        <w:adjustRightInd/>
        <w:jc w:val="center"/>
        <w:rPr>
          <w:rFonts w:ascii="Arial" w:eastAsia="Times New Roman" w:hAnsi="Arial"/>
          <w:b/>
          <w:color w:val="000000"/>
          <w:u w:color="0000FF"/>
        </w:rPr>
      </w:pPr>
      <w:r>
        <w:rPr>
          <w:rFonts w:ascii="Arial" w:eastAsia="Times New Roman" w:hAnsi="Arial"/>
          <w:b/>
          <w:color w:val="000000"/>
        </w:rPr>
        <w:t>SEA 80-L/V-061</w:t>
      </w:r>
      <w:r>
        <w:rPr>
          <w:rFonts w:ascii="Arial" w:eastAsia="Times New Roman" w:hAnsi="Arial"/>
          <w:b/>
          <w:color w:val="000000"/>
          <w:u w:color="0000FF"/>
        </w:rPr>
        <w:t>-2</w:t>
      </w:r>
    </w:p>
    <w:p w:rsidR="00A352D7" w:rsidRDefault="00A352D7">
      <w:pPr>
        <w:widowControl/>
        <w:shd w:val="clear" w:color="auto" w:fill="auto"/>
        <w:autoSpaceDE/>
        <w:autoSpaceDN/>
        <w:adjustRightInd/>
        <w:jc w:val="center"/>
        <w:rPr>
          <w:rFonts w:ascii="Arial" w:eastAsia="Times New Roman" w:hAnsi="Arial"/>
          <w:b/>
          <w:color w:val="000000"/>
          <w:u w:color="0000FF"/>
        </w:rPr>
      </w:pPr>
    </w:p>
    <w:p w:rsidR="00A352D7" w:rsidRDefault="00311A28">
      <w:pPr>
        <w:widowControl/>
        <w:shd w:val="clear" w:color="auto" w:fill="auto"/>
        <w:autoSpaceDE/>
        <w:autoSpaceDN/>
        <w:adjustRightInd/>
        <w:jc w:val="center"/>
        <w:rPr>
          <w:rFonts w:ascii="Arial" w:eastAsia="Times New Roman" w:hAnsi="Arial"/>
          <w:b/>
          <w:color w:val="000000"/>
        </w:rPr>
      </w:pPr>
      <w:r>
        <w:rPr>
          <w:rFonts w:ascii="Arial" w:eastAsia="Times New Roman" w:hAnsi="Arial"/>
          <w:b/>
          <w:color w:val="000000"/>
          <w:u w:color="0000FF"/>
        </w:rPr>
        <w:t>January 22, 2014</w:t>
      </w:r>
    </w:p>
    <w:p w:rsidR="00A352D7" w:rsidRDefault="00A352D7">
      <w:pPr>
        <w:widowControl/>
        <w:shd w:val="clear" w:color="auto" w:fill="auto"/>
        <w:autoSpaceDE/>
        <w:autoSpaceDN/>
        <w:adjustRightInd/>
        <w:jc w:val="both"/>
        <w:rPr>
          <w:rFonts w:ascii="Arial" w:eastAsia="Times New Roman" w:hAnsi="Arial"/>
          <w:color w:val="000000"/>
        </w:rPr>
      </w:pPr>
    </w:p>
    <w:p w:rsidR="00A352D7" w:rsidRDefault="00311A28">
      <w:pPr>
        <w:widowControl/>
        <w:shd w:val="clear" w:color="auto" w:fill="auto"/>
        <w:autoSpaceDE/>
        <w:autoSpaceDN/>
        <w:adjustRightInd/>
        <w:jc w:val="both"/>
        <w:rPr>
          <w:rFonts w:ascii="Arial" w:eastAsia="Times New Roman" w:hAnsi="Arial"/>
          <w:color w:val="000000"/>
        </w:rPr>
      </w:pPr>
      <w:r>
        <w:rPr>
          <w:rFonts w:ascii="Arial" w:eastAsia="Times New Roman" w:hAnsi="Arial"/>
          <w:color w:val="000000"/>
        </w:rPr>
        <w:t>If it is the intent of the Board of Supervisors (Board) to approve SEA 80-L/V-061 located at Tax Map Parcels</w:t>
      </w:r>
      <w:r>
        <w:rPr>
          <w:rFonts w:ascii="Arial" w:eastAsia="Times New Roman" w:hAnsi="Arial"/>
          <w:color w:val="000000"/>
        </w:rPr>
        <w:t xml:space="preserve"> 113-1((1)) part 5, 7, and 8 and 113-3((1)) 1, 2, and 4 (10201, 10209, 10215, 10219, and 10229 Furnace Road) to amend a Special Exception Amendment previously approved for a landfill pursuant to Sections 3-104, 9-201, 9-301 and 9-501 of the Fairfax County </w:t>
      </w:r>
      <w:r>
        <w:rPr>
          <w:rFonts w:ascii="Arial" w:eastAsia="Times New Roman" w:hAnsi="Arial"/>
          <w:color w:val="000000"/>
        </w:rPr>
        <w:t>Zoning Ordinance, Staff recommends that the Board condition the approval by requiring conformance with the following development conditions.  These development conditions incorporate and supersede all previous development conditions.  Previously approved c</w:t>
      </w:r>
      <w:r>
        <w:rPr>
          <w:rFonts w:ascii="Arial" w:eastAsia="Times New Roman" w:hAnsi="Arial"/>
          <w:color w:val="000000"/>
        </w:rPr>
        <w:t>onditions, some updated, are marked with an asterisk (*).</w:t>
      </w:r>
    </w:p>
    <w:p w:rsidR="00A352D7" w:rsidRDefault="00A352D7">
      <w:pPr>
        <w:widowControl/>
        <w:shd w:val="clear" w:color="auto" w:fill="auto"/>
        <w:autoSpaceDE/>
        <w:autoSpaceDN/>
        <w:adjustRightInd/>
        <w:jc w:val="both"/>
        <w:rPr>
          <w:rFonts w:ascii="Arial" w:eastAsia="Times New Roman" w:hAnsi="Arial"/>
          <w:color w:val="000000"/>
        </w:rPr>
      </w:pP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This Special Exception Amendment is granted for the location indicated in the application and is not transferable to other land.*</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 xml:space="preserve">This Special Exception Amendment (SEA) is granted for the location </w:t>
      </w:r>
      <w:r>
        <w:rPr>
          <w:rFonts w:ascii="Arial" w:eastAsia="Times New Roman" w:hAnsi="Arial"/>
          <w:color w:val="000000"/>
        </w:rPr>
        <w:t>and uses outlined in the application as amended by these conditions.  A revised site plan incorporating these conditions shall be submitted to the Department of Public Works and Environmental Services (DPWES).*</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A copy of this Special Exception shall be pos</w:t>
      </w:r>
      <w:r>
        <w:rPr>
          <w:rFonts w:ascii="Arial" w:eastAsia="Times New Roman" w:hAnsi="Arial"/>
          <w:color w:val="000000"/>
        </w:rPr>
        <w:t xml:space="preserve">ted in a conspicuous place within the operations trailer and scale houses along with the Non-Residential Use Permit on the property of the use and be made available to all Departments of the County of Fairfax during the hours of operation of the permitted </w:t>
      </w:r>
      <w:r>
        <w:rPr>
          <w:rFonts w:ascii="Arial" w:eastAsia="Times New Roman" w:hAnsi="Arial"/>
          <w:color w:val="000000"/>
        </w:rPr>
        <w:t>use.*</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Submission and approval of a site plan prepared in accordance with the provisions of Article 17, is required prior to the start of any landfilling activity in any new operational areas beyond that approved pursuant to SEA 80-L/V-061 and for each of t</w:t>
      </w:r>
      <w:r>
        <w:rPr>
          <w:rFonts w:ascii="Arial" w:eastAsia="Times New Roman" w:hAnsi="Arial"/>
          <w:color w:val="000000"/>
        </w:rPr>
        <w:t>he proposed electrical generating facilities (wind, solar, methane, and geothermal), radio controlled aircraft field, baseball hitting range, and golf driving range.  Any plan submitted pursuant to this special exception shall be in substantial conformance</w:t>
      </w:r>
      <w:r>
        <w:rPr>
          <w:rFonts w:ascii="Arial" w:eastAsia="Times New Roman" w:hAnsi="Arial"/>
          <w:color w:val="000000"/>
        </w:rPr>
        <w:t xml:space="preserve"> with the approved Special Exception Amendment Plat (SEA Plat) entitled “Lorton Green Energy Park and Debris Landfill,” prepared by BC Consultants, Inc., which is dated March 22, 2013, as revised through January 22, 2014, and these conditions.  Minor modif</w:t>
      </w:r>
      <w:r>
        <w:rPr>
          <w:rFonts w:ascii="Arial" w:eastAsia="Times New Roman" w:hAnsi="Arial"/>
          <w:color w:val="000000"/>
        </w:rPr>
        <w:t>ications to the approved Special Exception may be permitted pursuant to Par. 4 of Sect. 9-004 of the Zoning Ordinance.*</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shd w:val="clear" w:color="auto" w:fill="FFFFFF"/>
        </w:rPr>
        <w:t>Prior to site plan approval, the proposed expansion, to include the electrical generating facilities proposed in Phase 1, shall be submi</w:t>
      </w:r>
      <w:r>
        <w:rPr>
          <w:rFonts w:ascii="Arial" w:eastAsia="Times New Roman" w:hAnsi="Arial"/>
          <w:color w:val="000000"/>
          <w:shd w:val="clear" w:color="auto" w:fill="FFFFFF"/>
        </w:rPr>
        <w:t>tted to the Geotechnical Review Board (GRB) for its review and approval</w:t>
      </w:r>
      <w:r>
        <w:rPr>
          <w:rFonts w:ascii="Arial" w:eastAsia="Times New Roman" w:hAnsi="Arial"/>
          <w:color w:val="000000"/>
        </w:rPr>
        <w:t xml:space="preserve">.  Any and all recommendations </w:t>
      </w:r>
      <w:r>
        <w:rPr>
          <w:rFonts w:ascii="Arial" w:eastAsia="Times New Roman" w:hAnsi="Arial"/>
          <w:color w:val="000000"/>
        </w:rPr>
        <w:lastRenderedPageBreak/>
        <w:t>of the GRB within the GRB’s purview shall be implemented; if such recommendations cannot be implemented in substantial conformance with the SEA Plat, then</w:t>
      </w:r>
      <w:r>
        <w:rPr>
          <w:rFonts w:ascii="Arial" w:eastAsia="Times New Roman" w:hAnsi="Arial"/>
          <w:color w:val="000000"/>
        </w:rPr>
        <w:t xml:space="preserve"> this Special Exception Amendment shall be null and void.  </w:t>
      </w:r>
    </w:p>
    <w:p w:rsidR="00A352D7" w:rsidRDefault="00311A28">
      <w:pPr>
        <w:pStyle w:val="Heading1"/>
        <w:widowControl/>
        <w:numPr>
          <w:ilvl w:val="0"/>
          <w:numId w:val="0"/>
        </w:numPr>
        <w:shd w:val="clear" w:color="auto" w:fill="auto"/>
        <w:autoSpaceDE/>
        <w:autoSpaceDN/>
        <w:adjustRightInd/>
        <w:ind w:left="720"/>
        <w:rPr>
          <w:rFonts w:ascii="Arial" w:eastAsia="Times New Roman" w:hAnsi="Arial"/>
          <w:color w:val="000000"/>
        </w:rPr>
      </w:pPr>
      <w:r>
        <w:rPr>
          <w:rFonts w:ascii="Arial" w:eastAsia="Times New Roman" w:hAnsi="Arial"/>
          <w:color w:val="000000"/>
        </w:rPr>
        <w:t>Prior to site plan approval for the solar panels proposed in Phase 4, the wind turbines and/or solar panels proposed in Phase 5, and for each of the active recreational uses proposed in Phase 5 an</w:t>
      </w:r>
      <w:r>
        <w:rPr>
          <w:rFonts w:ascii="Arial" w:eastAsia="Times New Roman" w:hAnsi="Arial"/>
          <w:color w:val="000000"/>
        </w:rPr>
        <w:t>d 6 (</w:t>
      </w:r>
      <w:r>
        <w:rPr>
          <w:rFonts w:ascii="Arial" w:eastAsia="Times New Roman" w:hAnsi="Arial"/>
          <w:color w:val="000000"/>
          <w:shd w:val="clear" w:color="auto" w:fill="FFFFFF"/>
        </w:rPr>
        <w:t>radio controlled aircraft field, baseball hitting range, and golf driving range), each use shall require the review and approval by the GRB in accordance with Condition 6 below</w:t>
      </w:r>
      <w:r>
        <w:rPr>
          <w:rFonts w:ascii="Arial" w:eastAsia="Times New Roman" w:hAnsi="Arial"/>
          <w:color w:val="000000"/>
        </w:rPr>
        <w:t>.  Any and all recommendations within the GRB’s purview as to the Phase 4 s</w:t>
      </w:r>
      <w:r>
        <w:rPr>
          <w:rFonts w:ascii="Arial" w:eastAsia="Times New Roman" w:hAnsi="Arial"/>
          <w:color w:val="000000"/>
        </w:rPr>
        <w:t xml:space="preserve">olar panels and the Phase 5 turbines and/or solar panels shall be implemented; if such recommendations cannot be implemented in substantial conformance with the SEA Plat, then this Special Exception Amendment shall be null and void.  </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 xml:space="preserve">No construction of </w:t>
      </w:r>
      <w:r>
        <w:rPr>
          <w:rFonts w:ascii="Arial" w:eastAsia="Times New Roman" w:hAnsi="Arial"/>
          <w:color w:val="000000"/>
        </w:rPr>
        <w:t>the Phase 5 and Phase 6  recreational facilities on top of the landfill, as depicted in the SEA Plat, shall take place until the applicant has been released from its post-closure monitoring and maintenance requirements by the Virginia Department of Environ</w:t>
      </w:r>
      <w:r>
        <w:rPr>
          <w:rFonts w:ascii="Arial" w:eastAsia="Times New Roman" w:hAnsi="Arial"/>
          <w:color w:val="000000"/>
        </w:rPr>
        <w:t>mental Quality (DEQ) unless otherwise permitted by DEQ and the following takes place:</w:t>
      </w:r>
    </w:p>
    <w:p w:rsidR="00A352D7" w:rsidRDefault="00311A28">
      <w:pPr>
        <w:pStyle w:val="Heading3"/>
        <w:numPr>
          <w:ilvl w:val="0"/>
          <w:numId w:val="23"/>
        </w:numPr>
        <w:jc w:val="both"/>
        <w:rPr>
          <w:rFonts w:ascii="Arial" w:eastAsia="Times New Roman" w:hAnsi="Arial"/>
          <w:color w:val="000000"/>
          <w:shd w:val="clear" w:color="auto" w:fill="FFFFFF"/>
        </w:rPr>
      </w:pPr>
      <w:r>
        <w:rPr>
          <w:rFonts w:ascii="Arial" w:eastAsia="Times New Roman" w:hAnsi="Arial"/>
          <w:color w:val="000000"/>
          <w:shd w:val="clear" w:color="auto" w:fill="FFFFFF"/>
        </w:rPr>
        <w:t>The GRB has determined in writing that any residual post construction settlement will not affect the structural integrity of the proposed improvements; and</w:t>
      </w:r>
    </w:p>
    <w:p w:rsidR="00A352D7" w:rsidRDefault="00311A28">
      <w:pPr>
        <w:pStyle w:val="ListParagraph"/>
        <w:numPr>
          <w:ilvl w:val="0"/>
          <w:numId w:val="23"/>
        </w:numPr>
        <w:shd w:val="clear" w:color="auto" w:fill="auto"/>
        <w:jc w:val="both"/>
        <w:rPr>
          <w:rFonts w:ascii="Arial" w:eastAsia="Times New Roman" w:hAnsi="Arial"/>
          <w:color w:val="000000"/>
          <w:shd w:val="clear" w:color="auto" w:fill="FFFFFF"/>
        </w:rPr>
      </w:pPr>
      <w:r>
        <w:rPr>
          <w:rFonts w:ascii="Arial" w:eastAsia="Times New Roman" w:hAnsi="Arial"/>
          <w:color w:val="000000"/>
          <w:shd w:val="clear" w:color="auto" w:fill="FFFFFF"/>
        </w:rPr>
        <w:t>DEQ, the Count</w:t>
      </w:r>
      <w:r>
        <w:rPr>
          <w:rFonts w:ascii="Arial" w:eastAsia="Times New Roman" w:hAnsi="Arial"/>
          <w:color w:val="000000"/>
          <w:shd w:val="clear" w:color="auto" w:fill="FFFFFF"/>
        </w:rPr>
        <w:t>y Fire and Rescue Department and/or DPWES has determined that the nature and extent of corrosion producing properties, the generation and escape of combustible gases and potential fire hazards of the constituent material, considering its state of decomposi</w:t>
      </w:r>
      <w:r>
        <w:rPr>
          <w:rFonts w:ascii="Arial" w:eastAsia="Times New Roman" w:hAnsi="Arial"/>
          <w:color w:val="000000"/>
          <w:shd w:val="clear" w:color="auto" w:fill="FFFFFF"/>
        </w:rPr>
        <w:t>tion, has been provided for adequately and will not create an unsafe or hazardous condition in or around any of said proposed improvements.</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If any of the currently undisturbed areas of the landfill along the northern and eastern portion of the site as depi</w:t>
      </w:r>
      <w:r>
        <w:rPr>
          <w:rFonts w:ascii="Arial" w:eastAsia="Times New Roman" w:hAnsi="Arial"/>
          <w:color w:val="000000"/>
        </w:rPr>
        <w:t>cted on the SEA Plat are proposed to be disturbed for any reason (including installation of utility lines, detention ponds, access roads, etc.), then, prior to any such disturbance, a tight interval (30-foot intervals between shovel tests) Phase I archaeol</w:t>
      </w:r>
      <w:r>
        <w:rPr>
          <w:rFonts w:ascii="Arial" w:eastAsia="Times New Roman" w:hAnsi="Arial"/>
          <w:color w:val="000000"/>
        </w:rPr>
        <w:t>ogical survey shall be performed prior to site plan approval for those areas proposed to be disturbed and not previously the subject of a Phase I archaeological survey using a scope of work approved by the Cultural Resource Management and Protection Sectio</w:t>
      </w:r>
      <w:r>
        <w:rPr>
          <w:rFonts w:ascii="Arial" w:eastAsia="Times New Roman" w:hAnsi="Arial"/>
          <w:color w:val="000000"/>
        </w:rPr>
        <w:t xml:space="preserve">n of the Fairfax County Park Authority (FCPA).  If any archaeological resources are found by the Phase I survey and are determined to be potentially significant and disturbance of these resources cannot be avoided, then a Phase II study shall be performed </w:t>
      </w:r>
      <w:r>
        <w:rPr>
          <w:rFonts w:ascii="Arial" w:eastAsia="Times New Roman" w:hAnsi="Arial"/>
          <w:color w:val="000000"/>
        </w:rPr>
        <w:t xml:space="preserve">to assess the significance of such resources.  If deemed necessary by FCPA, a Phase III data recovery shall be performed in accordance with a scope approved by the Cultural Resource Management and Protection Section, FCPA.  </w:t>
      </w:r>
      <w:r>
        <w:rPr>
          <w:rFonts w:ascii="Arial" w:eastAsia="Times New Roman" w:hAnsi="Arial"/>
          <w:color w:val="000000"/>
          <w:highlight w:val="yellow"/>
        </w:rPr>
        <w:t>Any Phase III scopes shall provi</w:t>
      </w:r>
      <w:r>
        <w:rPr>
          <w:rFonts w:ascii="Arial" w:eastAsia="Times New Roman" w:hAnsi="Arial"/>
          <w:color w:val="000000"/>
          <w:highlight w:val="yellow"/>
        </w:rPr>
        <w:t>de for public interpretation of the results.  [WHAT DOES THIS MEAN??</w:t>
      </w:r>
      <w:bookmarkStart w:id="0" w:name="_GoBack"/>
      <w:bookmarkEnd w:id="0"/>
      <w:r>
        <w:rPr>
          <w:rFonts w:ascii="Arial" w:eastAsia="Times New Roman" w:hAnsi="Arial"/>
          <w:color w:val="000000"/>
          <w:highlight w:val="yellow"/>
        </w:rPr>
        <w:t>]</w:t>
      </w:r>
      <w:r>
        <w:rPr>
          <w:rFonts w:ascii="Arial" w:eastAsia="Times New Roman" w:hAnsi="Arial"/>
          <w:color w:val="000000"/>
        </w:rPr>
        <w:t xml:space="preserve"> Draft and final archaeological reports produced as a result </w:t>
      </w:r>
      <w:r>
        <w:rPr>
          <w:rFonts w:ascii="Arial" w:eastAsia="Times New Roman" w:hAnsi="Arial"/>
          <w:color w:val="000000"/>
        </w:rPr>
        <w:lastRenderedPageBreak/>
        <w:t xml:space="preserve">of the Phase I, II, and/or III studies shall be submitted for the review and approval of the Cultural Resource Management and </w:t>
      </w:r>
      <w:r>
        <w:rPr>
          <w:rFonts w:ascii="Arial" w:eastAsia="Times New Roman" w:hAnsi="Arial"/>
          <w:color w:val="000000"/>
        </w:rPr>
        <w:t>Protection Section of FCPA.*</w:t>
      </w:r>
    </w:p>
    <w:p w:rsidR="00A352D7" w:rsidRDefault="00311A28">
      <w:pPr>
        <w:pStyle w:val="Heading1"/>
        <w:widowControl/>
        <w:shd w:val="clear" w:color="auto" w:fill="auto"/>
        <w:autoSpaceDE/>
        <w:autoSpaceDN/>
        <w:adjustRightInd/>
        <w:rPr>
          <w:rFonts w:ascii="Arial" w:eastAsia="Times New Roman" w:hAnsi="Arial"/>
          <w:color w:val="000000"/>
        </w:rPr>
      </w:pPr>
      <w:r>
        <w:rPr>
          <w:rFonts w:ascii="Arial" w:eastAsia="Times New Roman" w:hAnsi="Arial"/>
          <w:color w:val="000000"/>
        </w:rPr>
        <w:t>Stormwater management and Best Management Practices (BMPs) for the site shall be provided as depicted on the SEA Plat and in conformance with the applicable Public Facilities Manual (PFM) standards, unless waived and/or modifie</w:t>
      </w:r>
      <w:r>
        <w:rPr>
          <w:rFonts w:ascii="Arial" w:eastAsia="Times New Roman" w:hAnsi="Arial"/>
          <w:color w:val="000000"/>
        </w:rPr>
        <w:t>d by DPWES.*</w:t>
      </w:r>
    </w:p>
    <w:p w:rsidR="00A352D7" w:rsidRDefault="00311A28">
      <w:pPr>
        <w:pStyle w:val="Heading1"/>
        <w:rPr>
          <w:rFonts w:ascii="Arial" w:eastAsia="Times New Roman" w:hAnsi="Arial"/>
          <w:color w:val="000000"/>
          <w:shd w:val="clear" w:color="auto" w:fill="FFFFFF"/>
        </w:rPr>
      </w:pPr>
      <w:r>
        <w:rPr>
          <w:rFonts w:ascii="Arial" w:eastAsia="Times New Roman" w:hAnsi="Arial"/>
          <w:color w:val="000000"/>
          <w:shd w:val="clear" w:color="auto" w:fill="FFFFFF"/>
        </w:rPr>
        <w:t>If deemed necessary by DPWES during site plan review, a Water Quality Impact Assessment (WQIA) shall be provided for encroachments into the Resource Protection Area for the purpose of providing adequate outfall and/or redevelopment of the exis</w:t>
      </w:r>
      <w:r>
        <w:rPr>
          <w:rFonts w:ascii="Arial" w:eastAsia="Times New Roman" w:hAnsi="Arial"/>
          <w:color w:val="000000"/>
          <w:shd w:val="clear" w:color="auto" w:fill="FFFFFF"/>
        </w:rPr>
        <w:t>ting stormwater management facilities.  Should any such encroachment be necessary, the limits of disturbance shall be no greater than that permitted in these development conditions, irrespective of that shown on the SEA Plat.*</w:t>
      </w:r>
    </w:p>
    <w:p w:rsidR="00A352D7" w:rsidRDefault="00311A28">
      <w:pPr>
        <w:widowControl/>
        <w:shd w:val="clear" w:color="auto" w:fill="auto"/>
        <w:autoSpaceDE/>
        <w:autoSpaceDN/>
        <w:adjustRightInd/>
        <w:jc w:val="both"/>
        <w:rPr>
          <w:rFonts w:ascii="Arial" w:eastAsia="Times New Roman" w:hAnsi="Arial"/>
          <w:color w:val="000000"/>
          <w:u w:val="single"/>
        </w:rPr>
      </w:pPr>
      <w:r>
        <w:rPr>
          <w:rFonts w:ascii="Arial" w:eastAsia="Times New Roman" w:hAnsi="Arial"/>
          <w:color w:val="000000"/>
          <w:u w:val="single"/>
        </w:rPr>
        <w:t xml:space="preserve">Conditions on the Operation </w:t>
      </w:r>
      <w:r>
        <w:rPr>
          <w:rFonts w:ascii="Arial" w:eastAsia="Times New Roman" w:hAnsi="Arial"/>
          <w:color w:val="000000"/>
          <w:u w:val="single"/>
        </w:rPr>
        <w:t>of the Landfill</w:t>
      </w:r>
    </w:p>
    <w:p w:rsidR="00A352D7" w:rsidRDefault="00A352D7">
      <w:pPr>
        <w:widowControl/>
        <w:shd w:val="clear" w:color="auto" w:fill="auto"/>
        <w:autoSpaceDE/>
        <w:autoSpaceDN/>
        <w:adjustRightInd/>
        <w:jc w:val="both"/>
        <w:rPr>
          <w:rFonts w:ascii="Arial" w:eastAsia="Times New Roman" w:hAnsi="Arial"/>
          <w:color w:val="000000"/>
          <w:u w:val="single"/>
        </w:rPr>
      </w:pP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Prior to site plan submission, a copy of the current Closure Plan (which addresses leachate control) approved by the Virginia Department of Environmental Quality (DEQ) shall be provided to the Department of Planning and Zoning (DPZ), the D</w:t>
      </w:r>
      <w:r>
        <w:rPr>
          <w:rFonts w:ascii="Arial" w:eastAsia="Times New Roman" w:hAnsi="Arial"/>
          <w:color w:val="000000"/>
        </w:rPr>
        <w:t>ivision of Solid Waste Management, DPWES and the Mount Vernon District Supervisor's office.  A copy of the approved Closure Plan shall be maintained on-site and made available.  Amended versions of the Closure Plan shall be submitted to the above mentioned</w:t>
      </w:r>
      <w:r>
        <w:rPr>
          <w:rFonts w:ascii="Arial" w:eastAsia="Times New Roman" w:hAnsi="Arial"/>
          <w:color w:val="000000"/>
        </w:rPr>
        <w:t xml:space="preserve"> agencies and offices as revisions occur and with any subsequent site plan submissions.  In addition, the applicant shall initiate its Major Permit Amendment with DEQ.  A letter confirming said initiation shall be provided to the above reference agencies a</w:t>
      </w:r>
      <w:r>
        <w:rPr>
          <w:rFonts w:ascii="Arial" w:eastAsia="Times New Roman" w:hAnsi="Arial"/>
          <w:color w:val="000000"/>
        </w:rPr>
        <w:t>nd office.  A copy of the Major Permit Amendment shall be maintained on-site and be made available upon demand.  A letter confirming subsequent amendments to said Major Permit Amendment shall be submitted to the above referenced agencies and office as revi</w:t>
      </w:r>
      <w:r>
        <w:rPr>
          <w:rFonts w:ascii="Arial" w:eastAsia="Times New Roman" w:hAnsi="Arial"/>
          <w:color w:val="000000"/>
        </w:rPr>
        <w:t>sions occur and with any subsequent site plan submissions.</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b/>
          <w:color w:val="000000"/>
          <w:u w:val="double" w:color="0000FF"/>
        </w:rPr>
      </w:pPr>
      <w:r>
        <w:rPr>
          <w:rFonts w:ascii="Arial" w:eastAsia="Times New Roman" w:hAnsi="Arial"/>
          <w:color w:val="000000"/>
        </w:rPr>
        <w:t>The landfill shall be operated in conformance with all sections of Virginia Administrative Code (VAC) applicable to the proposed landfill operations, except to the extent waived or modified by DEQ.</w:t>
      </w:r>
      <w:r>
        <w:rPr>
          <w:rFonts w:ascii="Arial" w:eastAsia="Times New Roman" w:hAnsi="Arial"/>
          <w:color w:val="000000"/>
        </w:rPr>
        <w:t xml:space="preserve">*   </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b/>
          <w:color w:val="000000"/>
          <w:u w:val="double" w:color="0000FF"/>
        </w:rPr>
      </w:pPr>
      <w:r>
        <w:rPr>
          <w:rFonts w:ascii="Arial" w:eastAsia="Times New Roman" w:hAnsi="Arial"/>
          <w:color w:val="000000"/>
        </w:rPr>
        <w:t>The height of the landfill prior to the installation of final cover (cap) of the landfill, vegetation, and "structures" as shown on the SEA Plat, shall not exceed the proposed final debris elevations as shown on the SEA Plat.  All landfill disposal ac</w:t>
      </w:r>
      <w:r>
        <w:rPr>
          <w:rFonts w:ascii="Arial" w:eastAsia="Times New Roman" w:hAnsi="Arial"/>
          <w:color w:val="000000"/>
        </w:rPr>
        <w:t>tivities shall cease when the final debris elevation of 412 feet above sea level as shown on the SEA Plat is reached, or December 31, 2040, whichever occurs first.  Such debris height across the landfill shall not exceed the elevations depicted by the prop</w:t>
      </w:r>
      <w:r>
        <w:rPr>
          <w:rFonts w:ascii="Arial" w:eastAsia="Times New Roman" w:hAnsi="Arial"/>
          <w:color w:val="000000"/>
        </w:rPr>
        <w:t xml:space="preserve">osed topography shown on the SEA Plat, except for (i) any temporary berms or temporary stockpiles which may be required or approved by DEQ or by the Director of DPWES for operational reasons, visual screening, </w:t>
      </w:r>
      <w:r>
        <w:rPr>
          <w:rFonts w:ascii="Arial" w:eastAsia="Times New Roman" w:hAnsi="Arial"/>
          <w:color w:val="000000"/>
        </w:rPr>
        <w:lastRenderedPageBreak/>
        <w:t>noise attenuation or capping and (ii) to provi</w:t>
      </w:r>
      <w:r>
        <w:rPr>
          <w:rFonts w:ascii="Arial" w:eastAsia="Times New Roman" w:hAnsi="Arial"/>
          <w:color w:val="000000"/>
        </w:rPr>
        <w:t>de adequate drainage from the center of the landfill.*</w:t>
      </w:r>
    </w:p>
    <w:p w:rsidR="00A352D7" w:rsidRDefault="00311A28">
      <w:pPr>
        <w:pStyle w:val="Heading1"/>
        <w:numPr>
          <w:ilvl w:val="0"/>
          <w:numId w:val="22"/>
        </w:numPr>
        <w:ind w:left="810"/>
        <w:rPr>
          <w:rFonts w:ascii="Arial" w:eastAsia="Times New Roman" w:hAnsi="Arial"/>
          <w:color w:val="000000"/>
          <w:u w:val="double" w:color="0000FF"/>
          <w:shd w:val="clear" w:color="auto" w:fill="FFFFFF"/>
        </w:rPr>
      </w:pPr>
      <w:r>
        <w:rPr>
          <w:rFonts w:ascii="Arial" w:eastAsia="Times New Roman" w:hAnsi="Arial"/>
          <w:color w:val="000000"/>
          <w:shd w:val="clear" w:color="auto" w:fill="FFFFFF"/>
        </w:rPr>
        <w:t xml:space="preserve">The landfill shall receive only construction/demolition debris materials, as defined in Section 104 of the County Code and as deemed permissible by Federal, State and County regulations.  Unacceptable </w:t>
      </w:r>
      <w:r>
        <w:rPr>
          <w:rFonts w:ascii="Arial" w:eastAsia="Times New Roman" w:hAnsi="Arial"/>
          <w:color w:val="000000"/>
          <w:shd w:val="clear" w:color="auto" w:fill="FFFFFF"/>
        </w:rPr>
        <w:t>landfill materials shall be prohibited on-site in accordance with the implementation of the Unauthorized Waste Control Plan as required by Virginia's Solid Waste Management Regulations and approved by DEQ.*</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Waste materials shall not be burned nor allowed t</w:t>
      </w:r>
      <w:r>
        <w:rPr>
          <w:rFonts w:ascii="Arial" w:eastAsia="Times New Roman" w:hAnsi="Arial"/>
          <w:color w:val="000000"/>
        </w:rPr>
        <w:t>o be burned at the site.*</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A liner system shall be installed in all landfill cells as required in accordance with Virginia Solid Waste Management Regulations.*</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A tire wash system, including a wash rack/grate system to dislodge mud on truck tires, shall be p</w:t>
      </w:r>
      <w:r>
        <w:rPr>
          <w:rFonts w:ascii="Arial" w:eastAsia="Times New Roman" w:hAnsi="Arial"/>
          <w:color w:val="000000"/>
        </w:rPr>
        <w:t>rovided as depicted on the SEA Plat in order to ensure that mud is not tracked from the landfill onto the surrounding roads.  The tire wash system may move from its location as shown on the SEA Plat.  However, the tire wash system shall be in a location th</w:t>
      </w:r>
      <w:r>
        <w:rPr>
          <w:rFonts w:ascii="Arial" w:eastAsia="Times New Roman" w:hAnsi="Arial"/>
          <w:color w:val="000000"/>
        </w:rPr>
        <w:t>at will wash truck tires prior to exit from the site.  In the event that one of the access points to the site becomes an additional truck exit, that exit shall contain a tire wash system as described below.  The tire wash system shall be maintained in acco</w:t>
      </w:r>
      <w:r>
        <w:rPr>
          <w:rFonts w:ascii="Arial" w:eastAsia="Times New Roman" w:hAnsi="Arial"/>
          <w:color w:val="000000"/>
        </w:rPr>
        <w:t>rdance with the manufacturer's recommendations.  Adequate resources (including spare parts) shall be maintained on-site in order to ensure that any needed repairs are made within a 24-hour period.  To ensure that the truck tires remain clean after washing,</w:t>
      </w:r>
      <w:r>
        <w:rPr>
          <w:rFonts w:ascii="Arial" w:eastAsia="Times New Roman" w:hAnsi="Arial"/>
          <w:color w:val="000000"/>
        </w:rPr>
        <w:t xml:space="preserve"> a minimum of 400 feet of pavement shall be installed immediately after the tire wash and shall be followed by gravel between said pavement area and the exit at Furnace Road.  In addition, “cattle guards” shall be employed to knock off mud and water in thr</w:t>
      </w:r>
      <w:r>
        <w:rPr>
          <w:rFonts w:ascii="Arial" w:eastAsia="Times New Roman" w:hAnsi="Arial"/>
          <w:color w:val="000000"/>
        </w:rPr>
        <w:t>ee locations: (i) before the tire wash; (ii) immediately after the tire wash; and (iii) at the landfill exit.   Should the tire wash be inoperable, alternative (and equivalent) methods of removing mud from the tires shall be employed.  Should said alternat</w:t>
      </w:r>
      <w:r>
        <w:rPr>
          <w:rFonts w:ascii="Arial" w:eastAsia="Times New Roman" w:hAnsi="Arial"/>
          <w:color w:val="000000"/>
        </w:rPr>
        <w:t>ive methods be unavailable, no landfill materials shall be accepted until the tire wash is back in operation.  Said new tire wash system shall be installed and be in operation by December 31, 2014.</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Prior to landfilling in any new operational areas beyond t</w:t>
      </w:r>
      <w:r>
        <w:rPr>
          <w:rFonts w:ascii="Arial" w:eastAsia="Times New Roman" w:hAnsi="Arial"/>
          <w:color w:val="000000"/>
        </w:rPr>
        <w:t>hose allowed pursuant to SEA 80-L/V-061, sediment basins meeting State and County regulations shall be provided in the Phase shown on the SEA Plat and maintained.*</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All dikes, basins and stockpiles shall be seeded and mulched as soon as they are constructed</w:t>
      </w:r>
      <w:r>
        <w:rPr>
          <w:rFonts w:ascii="Arial" w:eastAsia="Times New Roman" w:hAnsi="Arial"/>
          <w:color w:val="000000"/>
        </w:rPr>
        <w:t>.*</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Litter shall be controlled by the use of litter fences at the top of the landfill on each side of the active debris dumping areas along the working face.  Furthermore, a Litter Control program shall be prepared and implemented in accordance with Virgini</w:t>
      </w:r>
      <w:r>
        <w:rPr>
          <w:rFonts w:ascii="Arial" w:eastAsia="Times New Roman" w:hAnsi="Arial"/>
          <w:color w:val="000000"/>
        </w:rPr>
        <w:t>a's Solid Waste Management Regulations.*</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lastRenderedPageBreak/>
        <w:t xml:space="preserve">A Groundwater Monitoring Program shall be prepared and implemented in accordance with Virginia's Solid Waste Management Regulations.  A copy of all water test results, including groundwater, surface water and water </w:t>
      </w:r>
      <w:r>
        <w:rPr>
          <w:rFonts w:ascii="Arial" w:eastAsia="Times New Roman" w:hAnsi="Arial"/>
          <w:color w:val="000000"/>
        </w:rPr>
        <w:t>quality, submitted to DEQ, shall also be submitted at the same time to the Fairfax County Health Department and DPWES.  If, upon determination by DEQ and/or Fairfax County, the off-site private well on Tax Map Parcel 113-3((1)) 3 is adversely affected by t</w:t>
      </w:r>
      <w:r>
        <w:rPr>
          <w:rFonts w:ascii="Arial" w:eastAsia="Times New Roman" w:hAnsi="Arial"/>
          <w:color w:val="000000"/>
        </w:rPr>
        <w:t>he landfill operation, the landfill owner will provide an adequate potable water supply to such property within five (5) days of being notified of such a determination.*</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Dredge soils may be deposited at the landfill so long as the dredge soils entering the</w:t>
      </w:r>
      <w:r>
        <w:rPr>
          <w:rFonts w:ascii="Arial" w:eastAsia="Times New Roman" w:hAnsi="Arial"/>
          <w:color w:val="000000"/>
        </w:rPr>
        <w:t xml:space="preserve"> site meet the DEQ definition of acceptable waste for Construction and Demolition Debris landfills.  Dredge soils from the Lake Barcroft Water District and from the Lorton Station Homeowners' Association which meet the DEQ definition cited above shall be a</w:t>
      </w:r>
      <w:r>
        <w:rPr>
          <w:rFonts w:ascii="Arial" w:eastAsia="Times New Roman" w:hAnsi="Arial"/>
          <w:color w:val="000000"/>
        </w:rPr>
        <w:t>ccepted at the landfill at no cost.  Dredge soils may be accepted after the cessation of landfill disposal activities and during the post-closure period in connection with landscaping improvements and installation of the final cap.*</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The control of decompos</w:t>
      </w:r>
      <w:r>
        <w:rPr>
          <w:rFonts w:ascii="Arial" w:eastAsia="Times New Roman" w:hAnsi="Arial"/>
          <w:color w:val="000000"/>
        </w:rPr>
        <w:t>ition gases from the landfill shall be monitored through the implementation of a Gas Management Plan in accordance with Virginia's Solid Waste Management Regulations.  A coarse aggregate gas collection layer with collection pipe and gas vents above breathi</w:t>
      </w:r>
      <w:r>
        <w:rPr>
          <w:rFonts w:ascii="Arial" w:eastAsia="Times New Roman" w:hAnsi="Arial"/>
          <w:color w:val="000000"/>
        </w:rPr>
        <w:t>ng zones shall be installed as part of the cap in areas that are proposed for Phase 5 and Phase 6 recreational uses on top of the landfill, including parking areas, as reviewed and approved by DPWES.  All proposed structures on top of the landfill shall be</w:t>
      </w:r>
      <w:r>
        <w:rPr>
          <w:rFonts w:ascii="Arial" w:eastAsia="Times New Roman" w:hAnsi="Arial"/>
          <w:color w:val="000000"/>
        </w:rPr>
        <w:t xml:space="preserve"> open air, self-venting construction in order to prevent the buildup of landfill gases.  Any closed structures, such as the leachate pump houses, shall be locked to prohibit public access.*</w:t>
      </w:r>
    </w:p>
    <w:p w:rsidR="00A352D7" w:rsidRDefault="00311A28">
      <w:pPr>
        <w:pStyle w:val="Heading1"/>
        <w:numPr>
          <w:ilvl w:val="0"/>
          <w:numId w:val="22"/>
        </w:numPr>
        <w:ind w:left="810"/>
        <w:rPr>
          <w:rFonts w:ascii="Arial" w:eastAsia="Times New Roman" w:hAnsi="Arial"/>
          <w:color w:val="000000"/>
          <w:shd w:val="clear" w:color="auto" w:fill="FFFFFF"/>
        </w:rPr>
      </w:pPr>
      <w:r>
        <w:rPr>
          <w:rFonts w:ascii="Arial" w:eastAsia="Times New Roman" w:hAnsi="Arial"/>
          <w:color w:val="000000"/>
          <w:shd w:val="clear" w:color="auto" w:fill="FFFFFF"/>
        </w:rPr>
        <w:t>Recycling of construction and demolition debris (and related mater</w:t>
      </w:r>
      <w:r>
        <w:rPr>
          <w:rFonts w:ascii="Arial" w:eastAsia="Times New Roman" w:hAnsi="Arial"/>
          <w:color w:val="000000"/>
          <w:shd w:val="clear" w:color="auto" w:fill="FFFFFF"/>
        </w:rPr>
        <w:t xml:space="preserve">ials) may continue to be carried out on the landfill as an accessory use.  Recycling shall include the sorting, separation, storing, and processing (such as chipping, crushing, augmenting) of debris and recyclable materials (including, without limitation, </w:t>
      </w:r>
      <w:r>
        <w:rPr>
          <w:rFonts w:ascii="Arial" w:eastAsia="Times New Roman" w:hAnsi="Arial"/>
          <w:color w:val="000000"/>
          <w:shd w:val="clear" w:color="auto" w:fill="FFFFFF"/>
        </w:rPr>
        <w:t>the sorting of cardboard, metal, wood and inert material).</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An Emergency Contingency Plan shall be prepared and implemented in accordance with Virginia's Solid Waste Management Regulations.  A list of the landfill's equipment operators and their telephone n</w:t>
      </w:r>
      <w:r>
        <w:rPr>
          <w:rFonts w:ascii="Arial" w:eastAsia="Times New Roman" w:hAnsi="Arial"/>
          <w:color w:val="000000"/>
        </w:rPr>
        <w:t>umbers shall be made available to the County's Emergency Operations Center and kept current by the landfill operator.*</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 xml:space="preserve">Landfill materials may be accepted and clearing or grading of any kind may take place on the site only between the hours of 7:00 A.M. to </w:t>
      </w:r>
      <w:r>
        <w:rPr>
          <w:rFonts w:ascii="Arial" w:eastAsia="Times New Roman" w:hAnsi="Arial"/>
          <w:color w:val="000000"/>
        </w:rPr>
        <w:t>5:30 P.M. Monday through Friday and between 7:00 A.M. and 3:00 PM (noon) on Saturdays.  The  landfill gates shall be permitted to open to customers at 5:30 A.M. Monday through Friday and at 6 A.M. on Saturdays to allow customers to queue on-site while wait</w:t>
      </w:r>
      <w:r>
        <w:rPr>
          <w:rFonts w:ascii="Arial" w:eastAsia="Times New Roman" w:hAnsi="Arial"/>
          <w:color w:val="000000"/>
        </w:rPr>
        <w:t xml:space="preserve">ing for landfill activities to commence.  However, in no case shall </w:t>
      </w:r>
      <w:r>
        <w:rPr>
          <w:rFonts w:ascii="Arial" w:eastAsia="Times New Roman" w:hAnsi="Arial"/>
          <w:color w:val="000000"/>
        </w:rPr>
        <w:lastRenderedPageBreak/>
        <w:t>landfill operations begin until the commencement of the normal business hours listed above.  With prior approval from the Director of the Department of Public Works and Environmental Servi</w:t>
      </w:r>
      <w:r>
        <w:rPr>
          <w:rFonts w:ascii="Arial" w:eastAsia="Times New Roman" w:hAnsi="Arial"/>
          <w:color w:val="000000"/>
        </w:rPr>
        <w:t>ces, or his designated agent, the applicant may operate until 5:00 P.M. on Saturday on an emergency basis.  This approval shall not be granted more than ten times per calendar year.  In the event of a significant community emergency, as determined in writi</w:t>
      </w:r>
      <w:r>
        <w:rPr>
          <w:rFonts w:ascii="Arial" w:eastAsia="Times New Roman" w:hAnsi="Arial"/>
          <w:color w:val="000000"/>
        </w:rPr>
        <w:t>ng by the County Executive, the landfill may temporarily operate outside of normal business hours.</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The applicant will work with and will, as necessary, meet on a regular basis with local community organizations  as designated by the Mount Vernon District S</w:t>
      </w:r>
      <w:r>
        <w:rPr>
          <w:rFonts w:ascii="Arial" w:eastAsia="Times New Roman" w:hAnsi="Arial"/>
          <w:color w:val="000000"/>
        </w:rPr>
        <w:t>upervisor.*</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 xml:space="preserve">Per Sect. 9-205 of the Zoning Ordinance, the site shall be made available to the Director of DPWES or his representative in preparation of the annual report to the Board of Supervisors.  As a result of the annual inspection, the Director of </w:t>
      </w:r>
      <w:r>
        <w:rPr>
          <w:rFonts w:ascii="Arial" w:eastAsia="Times New Roman" w:hAnsi="Arial"/>
          <w:color w:val="000000"/>
        </w:rPr>
        <w:t>DPWES may recommend additional restrictions and limitations on the use to the Board.*</w:t>
      </w:r>
    </w:p>
    <w:p w:rsidR="00A352D7" w:rsidRDefault="00311A28">
      <w:pPr>
        <w:widowControl/>
        <w:shd w:val="clear" w:color="auto" w:fill="auto"/>
        <w:autoSpaceDE/>
        <w:autoSpaceDN/>
        <w:adjustRightInd/>
        <w:jc w:val="both"/>
        <w:rPr>
          <w:rFonts w:ascii="Arial" w:eastAsia="Times New Roman" w:hAnsi="Arial"/>
          <w:color w:val="000000"/>
          <w:u w:val="single"/>
        </w:rPr>
      </w:pPr>
      <w:r>
        <w:rPr>
          <w:rFonts w:ascii="Arial" w:eastAsia="Times New Roman" w:hAnsi="Arial"/>
          <w:color w:val="000000"/>
          <w:u w:val="single"/>
        </w:rPr>
        <w:t>Buffering, Landscaping and Screening Conditions</w:t>
      </w:r>
    </w:p>
    <w:p w:rsidR="00A352D7" w:rsidRDefault="00A352D7">
      <w:pPr>
        <w:widowControl/>
        <w:shd w:val="clear" w:color="auto" w:fill="auto"/>
        <w:autoSpaceDE/>
        <w:autoSpaceDN/>
        <w:adjustRightInd/>
        <w:jc w:val="both"/>
        <w:rPr>
          <w:rFonts w:ascii="Arial" w:eastAsia="Times New Roman" w:hAnsi="Arial"/>
          <w:color w:val="000000"/>
          <w:u w:val="single"/>
        </w:rPr>
      </w:pP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Irrespective of the notation on the SEA Plat that says "approximate limits of clearing and grading,” the limits of cleari</w:t>
      </w:r>
      <w:r>
        <w:rPr>
          <w:rFonts w:ascii="Arial" w:eastAsia="Times New Roman" w:hAnsi="Arial"/>
          <w:color w:val="000000"/>
        </w:rPr>
        <w:t>ng and grading as depicted on the SEA Plat shall be strictly adhered to.  No new waste (debris) placement activity shall take place within 75 feet of the 100 year floodplain of Giles Run.  There shall be no disturbance within the RPA, except in those limit</w:t>
      </w:r>
      <w:r>
        <w:rPr>
          <w:rFonts w:ascii="Arial" w:eastAsia="Times New Roman" w:hAnsi="Arial"/>
          <w:color w:val="000000"/>
        </w:rPr>
        <w:t xml:space="preserve">ed areas depicted on the SEA Plat and/or as permitted under the Chesapeake Bay Preservation Ordinance.* </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b/>
          <w:color w:val="000000"/>
          <w:u w:val="double" w:color="0000FF"/>
        </w:rPr>
      </w:pPr>
      <w:r>
        <w:rPr>
          <w:rFonts w:ascii="Arial" w:eastAsia="Times New Roman" w:hAnsi="Arial"/>
          <w:color w:val="000000"/>
        </w:rPr>
        <w:t>Notwithstanding the limitations of other development conditions, the applicant shall be permitted to encroach into the limits of clearing and grading a</w:t>
      </w:r>
      <w:r>
        <w:rPr>
          <w:rFonts w:ascii="Arial" w:eastAsia="Times New Roman" w:hAnsi="Arial"/>
          <w:color w:val="000000"/>
        </w:rPr>
        <w:t xml:space="preserve">nd/or the RPA without an SEA in order to conduct environmental monitoring and/or remediation activities to ameliorate a potential environmental and/or public health hazard.  Prior to the commencement of any such disturbance, the applicant shall obtain all </w:t>
      </w:r>
      <w:r>
        <w:rPr>
          <w:rFonts w:ascii="Arial" w:eastAsia="Times New Roman" w:hAnsi="Arial"/>
          <w:color w:val="000000"/>
        </w:rPr>
        <w:t>necessary approvals from DPWES for the actions to be taken, and immediately following any such activities, shall restore the disturbed area to the extent required.*</w:t>
      </w:r>
    </w:p>
    <w:p w:rsidR="00A352D7" w:rsidRDefault="00311A28">
      <w:pPr>
        <w:pStyle w:val="Heading1"/>
        <w:numPr>
          <w:ilvl w:val="0"/>
          <w:numId w:val="22"/>
        </w:numPr>
        <w:ind w:left="810"/>
        <w:rPr>
          <w:rFonts w:ascii="Arial" w:eastAsia="Times New Roman" w:hAnsi="Arial"/>
          <w:color w:val="000000"/>
          <w:shd w:val="clear" w:color="auto" w:fill="FFFFFF"/>
        </w:rPr>
      </w:pPr>
      <w:r>
        <w:rPr>
          <w:rFonts w:ascii="Arial" w:eastAsia="Times New Roman" w:hAnsi="Arial"/>
          <w:color w:val="000000"/>
          <w:shd w:val="clear" w:color="auto" w:fill="FFFFFF"/>
        </w:rPr>
        <w:t xml:space="preserve">All permanent berms located within buffer areas shall be landscaped to the satisfaction of </w:t>
      </w:r>
      <w:r>
        <w:rPr>
          <w:rFonts w:ascii="Arial" w:eastAsia="Times New Roman" w:hAnsi="Arial"/>
          <w:color w:val="000000"/>
          <w:shd w:val="clear" w:color="auto" w:fill="FFFFFF"/>
        </w:rPr>
        <w:t>the Urban Forest Management Division (UFMD), DPWES.  The materials used and their separation shall be in conformation with the landscaping standards of Article 13 of the Zoning Ordinance, as may be applicable and as determined by UFMD.*</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A 50-foot wide cont</w:t>
      </w:r>
      <w:r>
        <w:rPr>
          <w:rFonts w:ascii="Arial" w:eastAsia="Times New Roman" w:hAnsi="Arial"/>
          <w:color w:val="000000"/>
        </w:rPr>
        <w:t>inuous transitional screening buffer of existing trees shall be maintained along the northern boundary of the site and shall be supplemented with additional plantings, as depicted on the SEA Plat and subject to UFMD approval.</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strike/>
          <w:color w:val="000000"/>
        </w:rPr>
      </w:pPr>
      <w:r>
        <w:rPr>
          <w:rFonts w:ascii="Arial" w:eastAsia="Times New Roman" w:hAnsi="Arial"/>
          <w:color w:val="000000"/>
        </w:rPr>
        <w:lastRenderedPageBreak/>
        <w:t>Along the southern property bo</w:t>
      </w:r>
      <w:r>
        <w:rPr>
          <w:rFonts w:ascii="Arial" w:eastAsia="Times New Roman" w:hAnsi="Arial"/>
          <w:color w:val="000000"/>
        </w:rPr>
        <w:t xml:space="preserve">undary, i.e., from the southernmost point of the property to a point approximately:  (i) 600 feet along the southwestern boundary and (ii) 800 feet along the southeastern boundary, a landscaped buffer of at least 100 feet shall be maintained.  In any area </w:t>
      </w:r>
      <w:r>
        <w:rPr>
          <w:rFonts w:ascii="Arial" w:eastAsia="Times New Roman" w:hAnsi="Arial"/>
          <w:color w:val="000000"/>
        </w:rPr>
        <w:t xml:space="preserve">along this boundary where a minimum of 100 feet of natural vegetation does not exist, additional landscaping shall be planted.  The landscaping shall be designed to the satisfaction of UFMD, DPWES. The materials used and their separation shall comply with </w:t>
      </w:r>
      <w:r>
        <w:rPr>
          <w:rFonts w:ascii="Arial" w:eastAsia="Times New Roman" w:hAnsi="Arial"/>
          <w:color w:val="000000"/>
        </w:rPr>
        <w:t>the landscaping standards of Article 13 of the Zoning Ordinance as applicable and as determined by UFMD.*</w:t>
      </w:r>
    </w:p>
    <w:p w:rsidR="00A352D7" w:rsidRDefault="00311A28">
      <w:pPr>
        <w:keepNext/>
        <w:keepLines/>
        <w:widowControl/>
        <w:shd w:val="clear" w:color="auto" w:fill="auto"/>
        <w:autoSpaceDE/>
        <w:autoSpaceDN/>
        <w:adjustRightInd/>
        <w:jc w:val="both"/>
        <w:rPr>
          <w:rFonts w:ascii="Arial" w:eastAsia="Times New Roman" w:hAnsi="Arial"/>
          <w:color w:val="000000"/>
          <w:u w:val="single"/>
        </w:rPr>
      </w:pPr>
      <w:r>
        <w:rPr>
          <w:rFonts w:ascii="Arial" w:eastAsia="Times New Roman" w:hAnsi="Arial"/>
          <w:color w:val="000000"/>
          <w:u w:val="single"/>
        </w:rPr>
        <w:t>Conditions for Landscaping of the Property</w:t>
      </w:r>
    </w:p>
    <w:p w:rsidR="00A352D7" w:rsidRDefault="00A352D7">
      <w:pPr>
        <w:keepNext/>
        <w:keepLines/>
        <w:widowControl/>
        <w:shd w:val="clear" w:color="auto" w:fill="auto"/>
        <w:autoSpaceDE/>
        <w:autoSpaceDN/>
        <w:adjustRightInd/>
        <w:jc w:val="both"/>
        <w:rPr>
          <w:rFonts w:ascii="Arial" w:eastAsia="Times New Roman" w:hAnsi="Arial"/>
          <w:color w:val="000000"/>
        </w:rPr>
      </w:pPr>
    </w:p>
    <w:p w:rsidR="00A352D7" w:rsidRDefault="00311A28">
      <w:pPr>
        <w:pStyle w:val="Heading1"/>
        <w:keepNext/>
        <w:keepLines/>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shd w:val="clear" w:color="auto" w:fill="FFFFFF"/>
        </w:rPr>
        <w:t xml:space="preserve">A landscape plan shall be prepared and submitted for review and approval by UFMD, DPWES as part of site </w:t>
      </w:r>
      <w:r>
        <w:rPr>
          <w:rFonts w:ascii="Arial" w:eastAsia="Times New Roman" w:hAnsi="Arial"/>
          <w:color w:val="000000"/>
          <w:shd w:val="clear" w:color="auto" w:fill="FFFFFF"/>
        </w:rPr>
        <w:t>plan approval for the landfill. The landscape plan shall provide for revegetation of the landfill as depicted on the SEA Plat and shall include suitable varieties of trees and shrubs to the satisfaction of UFMD, DPWES, consistent with that shown on the SEA</w:t>
      </w:r>
      <w:r>
        <w:rPr>
          <w:rFonts w:ascii="Arial" w:eastAsia="Times New Roman" w:hAnsi="Arial"/>
          <w:color w:val="000000"/>
          <w:shd w:val="clear" w:color="auto" w:fill="FFFFFF"/>
        </w:rPr>
        <w:t xml:space="preserve"> Plat.*</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Prior to site plan approval, an invasive species management plan shall be developed by the applicant’s arborist in consultation with UFMD in order to control non-native, invasive vegetation and promote the establishment of native species.  This pla</w:t>
      </w:r>
      <w:r>
        <w:rPr>
          <w:rFonts w:ascii="Arial" w:eastAsia="Times New Roman" w:hAnsi="Arial"/>
          <w:color w:val="000000"/>
        </w:rPr>
        <w:t>n shall be</w:t>
      </w:r>
      <w:r>
        <w:rPr>
          <w:rFonts w:ascii="Arial" w:eastAsia="Times New Roman" w:hAnsi="Arial"/>
          <w:color w:val="000000"/>
          <w:u w:color="0000FF"/>
        </w:rPr>
        <w:t xml:space="preserve"> limited in scope and shall include reasonable, cost effective requirements, as </w:t>
      </w:r>
      <w:r>
        <w:rPr>
          <w:rFonts w:ascii="Arial" w:eastAsia="Times New Roman" w:hAnsi="Arial"/>
          <w:color w:val="000000"/>
        </w:rPr>
        <w:t>reviewed and approved by UFMD, DPWES.*</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All landscaping installed by the applicant shall be maintained in good health by the applicant.  Any such landscaping that shou</w:t>
      </w:r>
      <w:r>
        <w:rPr>
          <w:rFonts w:ascii="Arial" w:eastAsia="Times New Roman" w:hAnsi="Arial"/>
          <w:color w:val="000000"/>
        </w:rPr>
        <w:t>ld die within the initial two full growing seasons shall be replaced by the operator/applicant within the first growing season after its death, as determined appropriate by the Applicant’s arborist.*</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At the time of site plan approval cash,</w:t>
      </w:r>
      <w:r>
        <w:rPr>
          <w:rFonts w:ascii="Arial" w:eastAsia="Times New Roman" w:hAnsi="Arial"/>
          <w:b/>
          <w:color w:val="000000"/>
          <w:u w:color="0000FF"/>
        </w:rPr>
        <w:t xml:space="preserve"> </w:t>
      </w:r>
      <w:r>
        <w:rPr>
          <w:rFonts w:ascii="Arial" w:eastAsia="Times New Roman" w:hAnsi="Arial"/>
          <w:color w:val="000000"/>
        </w:rPr>
        <w:t>bond, or a lette</w:t>
      </w:r>
      <w:r>
        <w:rPr>
          <w:rFonts w:ascii="Arial" w:eastAsia="Times New Roman" w:hAnsi="Arial"/>
          <w:color w:val="000000"/>
        </w:rPr>
        <w:t>r of credit and payable to the County of Fairfax shall be posted to ensure that the approved landscaping and revegetation plans are completed in an amount determined by UFMD, DPWES.*</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Landscape planting shall be installed according to the landscape plan for</w:t>
      </w:r>
      <w:r>
        <w:rPr>
          <w:rFonts w:ascii="Arial" w:eastAsia="Times New Roman" w:hAnsi="Arial"/>
          <w:color w:val="000000"/>
        </w:rPr>
        <w:t xml:space="preserve"> each phase as generally depicted on the SEA Plat.  Landscaping in one phase may begin before the completion of any prior phase to facilitate ongoing landfill operations.  An interim vegetative cover shall be provided in disturbed areas where active landfi</w:t>
      </w:r>
      <w:r>
        <w:rPr>
          <w:rFonts w:ascii="Arial" w:eastAsia="Times New Roman" w:hAnsi="Arial"/>
          <w:color w:val="000000"/>
        </w:rPr>
        <w:t>ll operations are complete and an interim landfill cap has been installed for any given area regardless of phase.  Final landscaping, according to the approved landscape plan, shall be provided at the beginning of the first full planting season following t</w:t>
      </w:r>
      <w:r>
        <w:rPr>
          <w:rFonts w:ascii="Arial" w:eastAsia="Times New Roman" w:hAnsi="Arial"/>
          <w:color w:val="000000"/>
        </w:rPr>
        <w:t>he installation of the final landfill cap, subject to review and approval by UFMD.  Final cover material shall be provided in accordance with DEQ design requirements, as approved in the Major Permit Amendment.  Additional soil shall be placed on top of the</w:t>
      </w:r>
      <w:r>
        <w:rPr>
          <w:rFonts w:ascii="Arial" w:eastAsia="Times New Roman" w:hAnsi="Arial"/>
          <w:color w:val="000000"/>
        </w:rPr>
        <w:t xml:space="preserve"> final cover in those locations where the planting of trees is to occur, subject to the review and approval by UFMD and DEQ.</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lastRenderedPageBreak/>
        <w:t>Final landscaping of the landfill shall be completed within one year after the termination of landfilling operations and completion</w:t>
      </w:r>
      <w:r>
        <w:rPr>
          <w:rFonts w:ascii="Arial" w:eastAsia="Times New Roman" w:hAnsi="Arial"/>
          <w:color w:val="000000"/>
        </w:rPr>
        <w:t xml:space="preserve"> of the full landfill cap on the property.*</w:t>
      </w:r>
    </w:p>
    <w:p w:rsidR="00A352D7" w:rsidRDefault="00311A28">
      <w:pPr>
        <w:keepNext/>
        <w:keepLines/>
        <w:widowControl/>
        <w:shd w:val="clear" w:color="auto" w:fill="auto"/>
        <w:autoSpaceDE/>
        <w:autoSpaceDN/>
        <w:adjustRightInd/>
        <w:jc w:val="both"/>
        <w:rPr>
          <w:rFonts w:ascii="Arial" w:eastAsia="Times New Roman" w:hAnsi="Arial"/>
          <w:color w:val="000000"/>
          <w:u w:val="single"/>
        </w:rPr>
      </w:pPr>
      <w:r>
        <w:rPr>
          <w:rFonts w:ascii="Arial" w:eastAsia="Times New Roman" w:hAnsi="Arial"/>
          <w:color w:val="000000"/>
          <w:u w:val="single"/>
        </w:rPr>
        <w:t>Transportation Conditions</w:t>
      </w:r>
    </w:p>
    <w:p w:rsidR="00A352D7" w:rsidRDefault="00A352D7">
      <w:pPr>
        <w:keepNext/>
        <w:keepLines/>
        <w:widowControl/>
        <w:shd w:val="clear" w:color="auto" w:fill="auto"/>
        <w:autoSpaceDE/>
        <w:autoSpaceDN/>
        <w:adjustRightInd/>
        <w:jc w:val="both"/>
        <w:rPr>
          <w:rFonts w:ascii="Arial" w:eastAsia="Times New Roman" w:hAnsi="Arial"/>
          <w:color w:val="000000"/>
          <w:u w:val="single"/>
        </w:rPr>
      </w:pPr>
    </w:p>
    <w:p w:rsidR="00A352D7" w:rsidRDefault="00311A28">
      <w:pPr>
        <w:pStyle w:val="Heading1"/>
        <w:keepNext/>
        <w:keepLines/>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Commercial truck traffic shall enter the site only from the south, shall only make right turns into the landfill, and shall be prohibited from making left turns into and right turns out</w:t>
      </w:r>
      <w:r>
        <w:rPr>
          <w:rFonts w:ascii="Arial" w:eastAsia="Times New Roman" w:hAnsi="Arial"/>
          <w:color w:val="000000"/>
        </w:rPr>
        <w:t xml:space="preserve"> of the landfill.  Applicant shall retain its existing approved design at its main entrance, and shall provide a similar restrictive design (as approved by VDOT and DPWES) at its new southern entrance, to accomplish this restriction.  Signage shall be post</w:t>
      </w:r>
      <w:r>
        <w:rPr>
          <w:rFonts w:ascii="Arial" w:eastAsia="Times New Roman" w:hAnsi="Arial"/>
          <w:color w:val="000000"/>
        </w:rPr>
        <w:t>ed accordingly and these requirements enforced.  The operator shall post this condition at the site entrance and shall inform all regular customers of these restrictions in writing at least twice a year.</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strike/>
          <w:color w:val="000000"/>
        </w:rPr>
      </w:pPr>
      <w:r>
        <w:rPr>
          <w:rFonts w:ascii="Arial" w:eastAsia="Times New Roman" w:hAnsi="Arial"/>
          <w:color w:val="000000"/>
        </w:rPr>
        <w:t>Right-of-way to 44 feet from the existing centerline</w:t>
      </w:r>
      <w:r>
        <w:rPr>
          <w:rFonts w:ascii="Arial" w:eastAsia="Times New Roman" w:hAnsi="Arial"/>
          <w:color w:val="000000"/>
        </w:rPr>
        <w:t xml:space="preserve"> along the site's Furnace Road frontage and any ancillary easements shall be reserved for dedication to the Board of Supervisors in fee simple at no cost as shown on the SEA Plat.  This right-of-way shall be dedicated upon demand by Fairfax County and/or t</w:t>
      </w:r>
      <w:r>
        <w:rPr>
          <w:rFonts w:ascii="Arial" w:eastAsia="Times New Roman" w:hAnsi="Arial"/>
          <w:color w:val="000000"/>
        </w:rPr>
        <w:t>he Virginia Department of Transportation (VDOT).  Should this right-of-way dedication be required prior to completion of landfill activities, the raised concrete island at the main entrance to the landfill shall be permitted to remain, subject to VDOT appr</w:t>
      </w:r>
      <w:r>
        <w:rPr>
          <w:rFonts w:ascii="Arial" w:eastAsia="Times New Roman" w:hAnsi="Arial"/>
          <w:color w:val="000000"/>
        </w:rPr>
        <w:t>oval.</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u w:val="double" w:color="0000FF"/>
        </w:rPr>
      </w:pPr>
      <w:r>
        <w:rPr>
          <w:rFonts w:ascii="Arial" w:eastAsia="Times New Roman" w:hAnsi="Arial"/>
          <w:color w:val="000000"/>
        </w:rPr>
        <w:t xml:space="preserve">There shall be no access to the property for any landfilling purpose through the adjoining properties to the north.  Pedestrian access shall not be permitted, except a trail connection to Lorton Valley may be provided in Phase 1 solely at the option </w:t>
      </w:r>
      <w:r>
        <w:rPr>
          <w:rFonts w:ascii="Arial" w:eastAsia="Times New Roman" w:hAnsi="Arial"/>
          <w:color w:val="000000"/>
        </w:rPr>
        <w:t xml:space="preserve">of the Lorton Valley Homeowners Association, as depicted on the SEA Plat. </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 xml:space="preserve">Effective dust and gravel control measures shall be installed and maintained by the operator of the landfill.  At a minimum, these measures shall include the full-time availability </w:t>
      </w:r>
      <w:r>
        <w:rPr>
          <w:rFonts w:ascii="Arial" w:eastAsia="Times New Roman" w:hAnsi="Arial"/>
          <w:color w:val="000000"/>
        </w:rPr>
        <w:t>of a water tank truck and sweeper vehicle on-site.*</w:t>
      </w:r>
    </w:p>
    <w:p w:rsidR="00A352D7" w:rsidRDefault="00311A28">
      <w:pPr>
        <w:pStyle w:val="Heading1"/>
        <w:widowControl/>
        <w:numPr>
          <w:ilvl w:val="0"/>
          <w:numId w:val="22"/>
        </w:numPr>
        <w:shd w:val="clear" w:color="auto" w:fill="auto"/>
        <w:autoSpaceDE/>
        <w:autoSpaceDN/>
        <w:adjustRightInd/>
        <w:ind w:left="810"/>
        <w:rPr>
          <w:rFonts w:ascii="Arial" w:eastAsia="Times New Roman" w:hAnsi="Arial"/>
          <w:color w:val="000000"/>
        </w:rPr>
      </w:pPr>
      <w:r>
        <w:rPr>
          <w:rFonts w:ascii="Arial" w:eastAsia="Times New Roman" w:hAnsi="Arial"/>
          <w:color w:val="000000"/>
        </w:rPr>
        <w:t xml:space="preserve">As depicted on the SEA Plat, beginning at the end of Phase 1 of operations after the berm is completed in that area, a second right turn in-only lane shall be constructed by the applicant, as approved by </w:t>
      </w:r>
      <w:r>
        <w:rPr>
          <w:rFonts w:ascii="Arial" w:eastAsia="Times New Roman" w:hAnsi="Arial"/>
          <w:color w:val="000000"/>
        </w:rPr>
        <w:t xml:space="preserve">VDOT and the Fairfax County Department of Transportation (FCDOT), as a new southern entrance-only for truck traffic travelling north on Furnace Road.  No left turns into nor exits from the landfill shall be permitted at this second/southern entrance.  Any </w:t>
      </w:r>
      <w:r>
        <w:rPr>
          <w:rFonts w:ascii="Arial" w:eastAsia="Times New Roman" w:hAnsi="Arial"/>
          <w:color w:val="000000"/>
        </w:rPr>
        <w:t>improvements needed to ensure the provision of an adequate turning radius at the site entrances for a right in (and left out at the main entrance) only for trucks shall be made prior to the issuance of the Non-RUP.*</w:t>
      </w:r>
    </w:p>
    <w:p w:rsidR="00A352D7" w:rsidRDefault="00311A28">
      <w:pPr>
        <w:jc w:val="both"/>
        <w:rPr>
          <w:rFonts w:ascii="Arial" w:eastAsia="Times New Roman" w:hAnsi="Arial"/>
          <w:color w:val="000000"/>
          <w:u w:val="single"/>
          <w:shd w:val="clear" w:color="auto" w:fill="FFFFFF"/>
        </w:rPr>
      </w:pPr>
      <w:r>
        <w:rPr>
          <w:rFonts w:ascii="Arial" w:eastAsia="Times New Roman" w:hAnsi="Arial"/>
          <w:color w:val="000000"/>
          <w:u w:val="single"/>
          <w:shd w:val="clear" w:color="auto" w:fill="FFFFFF"/>
        </w:rPr>
        <w:t>Renewable Energy Program</w:t>
      </w:r>
    </w:p>
    <w:p w:rsidR="00A352D7" w:rsidRDefault="00A352D7">
      <w:pPr>
        <w:jc w:val="both"/>
        <w:rPr>
          <w:rFonts w:eastAsia="Times New Roman"/>
          <w:color w:val="000000"/>
          <w:shd w:val="clear" w:color="auto" w:fill="FFFFFF"/>
        </w:rPr>
      </w:pPr>
    </w:p>
    <w:p w:rsidR="00A352D7" w:rsidRDefault="00311A28">
      <w:pPr>
        <w:pStyle w:val="Heading1"/>
        <w:numPr>
          <w:ilvl w:val="0"/>
          <w:numId w:val="22"/>
        </w:numPr>
        <w:shd w:val="clear" w:color="auto" w:fill="auto"/>
        <w:ind w:left="810"/>
        <w:rPr>
          <w:rFonts w:ascii="Arial" w:eastAsia="Times New Roman" w:hAnsi="Arial"/>
          <w:color w:val="000000"/>
          <w:u w:val="single"/>
          <w:shd w:val="clear" w:color="auto" w:fill="FFFFFF"/>
        </w:rPr>
      </w:pPr>
      <w:r>
        <w:rPr>
          <w:rFonts w:ascii="Arial" w:eastAsia="Times New Roman" w:hAnsi="Arial"/>
          <w:color w:val="000000"/>
          <w:shd w:val="clear" w:color="auto" w:fill="FFFFFF"/>
        </w:rPr>
        <w:t xml:space="preserve">The applicant </w:t>
      </w:r>
      <w:r>
        <w:rPr>
          <w:rFonts w:ascii="Arial" w:eastAsia="Times New Roman" w:hAnsi="Arial"/>
          <w:color w:val="000000"/>
          <w:shd w:val="clear" w:color="auto" w:fill="FFFFFF"/>
        </w:rPr>
        <w:t xml:space="preserve">shall establish a Green Energy Park (GEP) demonstration project on portions of the landfill as generally shown on the SEA Plat. Said GEP shall </w:t>
      </w:r>
      <w:r>
        <w:rPr>
          <w:rFonts w:ascii="Arial" w:eastAsia="Times New Roman" w:hAnsi="Arial"/>
          <w:color w:val="000000"/>
          <w:shd w:val="clear" w:color="auto" w:fill="FFFFFF"/>
        </w:rPr>
        <w:lastRenderedPageBreak/>
        <w:t>consist of renewable energy generation facilities including wind, geothermal infrastructure and methane gas colle</w:t>
      </w:r>
      <w:r>
        <w:rPr>
          <w:rFonts w:ascii="Arial" w:eastAsia="Times New Roman" w:hAnsi="Arial"/>
          <w:color w:val="000000"/>
          <w:shd w:val="clear" w:color="auto" w:fill="FFFFFF"/>
        </w:rPr>
        <w:t>ction systems and potentially solar panels, as interim uses during both the landfill operations and post-closure periods, as described below:</w:t>
      </w:r>
    </w:p>
    <w:p w:rsidR="00A352D7" w:rsidRDefault="00311A28">
      <w:pPr>
        <w:widowControl/>
        <w:numPr>
          <w:ilvl w:val="0"/>
          <w:numId w:val="24"/>
        </w:numPr>
        <w:shd w:val="clear" w:color="auto" w:fill="auto"/>
        <w:tabs>
          <w:tab w:val="clear" w:pos="720"/>
          <w:tab w:val="left" w:pos="1440"/>
          <w:tab w:val="right" w:pos="9360"/>
        </w:tabs>
        <w:autoSpaceDE/>
        <w:autoSpaceDN/>
        <w:adjustRightInd/>
        <w:spacing w:before="240" w:line="276" w:lineRule="exact"/>
        <w:ind w:left="1440" w:hanging="720"/>
        <w:jc w:val="both"/>
        <w:rPr>
          <w:rFonts w:ascii="Arial" w:eastAsia="Times New Roman" w:hAnsi="Arial"/>
          <w:color w:val="000000"/>
        </w:rPr>
      </w:pPr>
      <w:r>
        <w:rPr>
          <w:rFonts w:ascii="Arial" w:eastAsia="Times New Roman" w:hAnsi="Arial"/>
          <w:color w:val="000000"/>
        </w:rPr>
        <w:t>The applicant shall erect three wind turbines by the end of Phase 1 (the Initial Turbines). Each of the three wind turbines to be installed on-site by the applicant during Phase 1 shall be capable of producing at least one-quarter megawatt peak of electric</w:t>
      </w:r>
      <w:r>
        <w:rPr>
          <w:rFonts w:ascii="Arial" w:eastAsia="Times New Roman" w:hAnsi="Arial"/>
          <w:color w:val="000000"/>
        </w:rPr>
        <w:t xml:space="preserve">ity on that interim, southern portion of the platform as depicted on Sheet 6 of the SEA Plat. The first turbine shall be installed no later than 18 months after all necessary Federal, Virginia, and Fairfax County approvals for implementation of the SEA to </w:t>
      </w:r>
      <w:r>
        <w:rPr>
          <w:rFonts w:ascii="Arial" w:eastAsia="Times New Roman" w:hAnsi="Arial"/>
          <w:color w:val="000000"/>
        </w:rPr>
        <w:t>include, but not limited to, (i) FAA and/or other Federal, State and County approvals applicable to the Initial Turbines; (ii) all requisite DEQ approvals, including the Major Permit Amendment; (iii) all requisite County approvals such as GRB, site plan, l</w:t>
      </w:r>
      <w:r>
        <w:rPr>
          <w:rFonts w:ascii="Arial" w:eastAsia="Times New Roman" w:hAnsi="Arial"/>
          <w:color w:val="000000"/>
        </w:rPr>
        <w:t>and development and structure permits, non-DEQ bonding, and Non-RUP, have been obtained (collectively referred to as Necessary Approvals). Necessary Approvals shall diligently be pursued by the applicant. The second and third turbines shall be installed wi</w:t>
      </w:r>
      <w:r>
        <w:rPr>
          <w:rFonts w:ascii="Arial" w:eastAsia="Times New Roman" w:hAnsi="Arial"/>
          <w:color w:val="000000"/>
        </w:rPr>
        <w:t xml:space="preserve">thin 36 months after having received all Necessary Approvals. </w:t>
      </w:r>
    </w:p>
    <w:p w:rsidR="00A352D7" w:rsidRDefault="00311A28">
      <w:pPr>
        <w:widowControl/>
        <w:shd w:val="clear" w:color="auto" w:fill="auto"/>
        <w:tabs>
          <w:tab w:val="left" w:pos="1440"/>
          <w:tab w:val="right" w:pos="9360"/>
        </w:tabs>
        <w:autoSpaceDE/>
        <w:autoSpaceDN/>
        <w:adjustRightInd/>
        <w:spacing w:before="240" w:line="276" w:lineRule="exact"/>
        <w:ind w:left="1440"/>
        <w:jc w:val="both"/>
        <w:rPr>
          <w:rFonts w:ascii="Arial" w:eastAsia="Times New Roman" w:hAnsi="Arial"/>
          <w:color w:val="000000"/>
        </w:rPr>
      </w:pPr>
      <w:r>
        <w:rPr>
          <w:rFonts w:ascii="Arial" w:eastAsia="Times New Roman" w:hAnsi="Arial"/>
          <w:color w:val="000000"/>
        </w:rPr>
        <w:t>The Applicant shall install an inverter or similar device in order to convert the electricity produced by these Initial Turbines from direct current to alternate current.  During Phase 2 of dev</w:t>
      </w:r>
      <w:r>
        <w:rPr>
          <w:rFonts w:ascii="Arial" w:eastAsia="Times New Roman" w:hAnsi="Arial"/>
          <w:color w:val="000000"/>
        </w:rPr>
        <w:t>elopment, at least 75% of electricity generated by the Initial Turbines after conversion to alternate current shall be consumed on-site by landfill facilities or activities.</w:t>
      </w:r>
    </w:p>
    <w:p w:rsidR="00A352D7" w:rsidRDefault="00311A28">
      <w:pPr>
        <w:widowControl/>
        <w:shd w:val="clear" w:color="auto" w:fill="auto"/>
        <w:tabs>
          <w:tab w:val="left" w:pos="720"/>
          <w:tab w:val="left" w:pos="1440"/>
          <w:tab w:val="right" w:pos="9360"/>
        </w:tabs>
        <w:autoSpaceDE/>
        <w:autoSpaceDN/>
        <w:adjustRightInd/>
        <w:spacing w:before="240" w:line="276" w:lineRule="exact"/>
        <w:ind w:left="1440"/>
        <w:jc w:val="both"/>
        <w:rPr>
          <w:rFonts w:ascii="Arial" w:eastAsia="Times New Roman" w:hAnsi="Arial"/>
          <w:color w:val="000000"/>
        </w:rPr>
      </w:pPr>
      <w:r>
        <w:rPr>
          <w:rFonts w:ascii="Arial" w:eastAsia="Times New Roman" w:hAnsi="Arial"/>
          <w:color w:val="000000"/>
        </w:rPr>
        <w:t>Fifty percent of any revenue, in excess of 2.5 cents per kilowatt hour, the applic</w:t>
      </w:r>
      <w:r>
        <w:rPr>
          <w:rFonts w:ascii="Arial" w:eastAsia="Times New Roman" w:hAnsi="Arial"/>
          <w:color w:val="000000"/>
        </w:rPr>
        <w:t>ant receives from the sale of the electricity produced shall be contributed to the County within 30 days after receipt of such revenue.</w:t>
      </w:r>
    </w:p>
    <w:p w:rsidR="00A352D7" w:rsidRDefault="00311A28">
      <w:pPr>
        <w:widowControl/>
        <w:shd w:val="clear" w:color="auto" w:fill="auto"/>
        <w:tabs>
          <w:tab w:val="left" w:pos="720"/>
          <w:tab w:val="left" w:pos="1440"/>
          <w:tab w:val="right" w:pos="9360"/>
        </w:tabs>
        <w:autoSpaceDE/>
        <w:autoSpaceDN/>
        <w:adjustRightInd/>
        <w:spacing w:before="240" w:line="276" w:lineRule="exact"/>
        <w:ind w:left="1440"/>
        <w:jc w:val="both"/>
        <w:rPr>
          <w:rFonts w:ascii="Arial" w:eastAsia="Times New Roman" w:hAnsi="Arial"/>
          <w:color w:val="000000"/>
        </w:rPr>
      </w:pPr>
      <w:r>
        <w:rPr>
          <w:rFonts w:ascii="Arial" w:eastAsia="Times New Roman" w:hAnsi="Arial"/>
          <w:color w:val="000000"/>
        </w:rPr>
        <w:t>For any electricity produced by these Initial Turbines and consumed on site, the applicant will pay to the county 50% of</w:t>
      </w:r>
      <w:r>
        <w:rPr>
          <w:rFonts w:ascii="Arial" w:eastAsia="Times New Roman" w:hAnsi="Arial"/>
          <w:color w:val="000000"/>
        </w:rPr>
        <w:t xml:space="preserve"> the price (over 2.5 cents) it would have paid to a third party provider for the 'electricity supply service' net of taxes and distribution charges.</w:t>
      </w:r>
    </w:p>
    <w:p w:rsidR="00A352D7" w:rsidRDefault="00311A28">
      <w:pPr>
        <w:spacing w:before="238" w:line="276" w:lineRule="exact"/>
        <w:ind w:left="1440"/>
        <w:jc w:val="both"/>
        <w:rPr>
          <w:rFonts w:ascii="Arial" w:eastAsia="Times New Roman" w:hAnsi="Arial"/>
          <w:color w:val="000000"/>
          <w:shd w:val="clear" w:color="auto" w:fill="FFFFFF"/>
        </w:rPr>
      </w:pPr>
      <w:r>
        <w:rPr>
          <w:rFonts w:ascii="Arial" w:eastAsia="Times New Roman" w:hAnsi="Arial"/>
          <w:color w:val="000000"/>
          <w:shd w:val="clear" w:color="auto" w:fill="FFFFFF"/>
        </w:rPr>
        <w:t>The applicant shall construct a foundation for the Initial Turbines, the design for which shall be reviewed</w:t>
      </w:r>
      <w:r>
        <w:rPr>
          <w:rFonts w:ascii="Arial" w:eastAsia="Times New Roman" w:hAnsi="Arial"/>
          <w:color w:val="000000"/>
          <w:shd w:val="clear" w:color="auto" w:fill="FFFFFF"/>
        </w:rPr>
        <w:t xml:space="preserve"> and approved by DEQ. The Initial Turbines shall be operated for their useful life or until the initiation of Phase 5 landfilling activities requires their removal.</w:t>
      </w:r>
    </w:p>
    <w:p w:rsidR="00A352D7" w:rsidRDefault="00311A28">
      <w:pPr>
        <w:widowControl/>
        <w:numPr>
          <w:ilvl w:val="0"/>
          <w:numId w:val="24"/>
        </w:numPr>
        <w:shd w:val="clear" w:color="auto" w:fill="auto"/>
        <w:tabs>
          <w:tab w:val="clear" w:pos="720"/>
          <w:tab w:val="left" w:pos="1440"/>
          <w:tab w:val="right" w:pos="9360"/>
        </w:tabs>
        <w:autoSpaceDE/>
        <w:autoSpaceDN/>
        <w:adjustRightInd/>
        <w:spacing w:before="276" w:line="276" w:lineRule="exact"/>
        <w:ind w:left="1440" w:hanging="720"/>
        <w:jc w:val="both"/>
        <w:rPr>
          <w:rFonts w:ascii="Arial" w:eastAsia="Times New Roman" w:hAnsi="Arial"/>
          <w:color w:val="000000"/>
        </w:rPr>
      </w:pPr>
      <w:r>
        <w:rPr>
          <w:rFonts w:ascii="Arial" w:eastAsia="Times New Roman" w:hAnsi="Arial"/>
          <w:color w:val="000000"/>
        </w:rPr>
        <w:t>The applicant also shall install a methane gas recovery system within the landfill and shal</w:t>
      </w:r>
      <w:r>
        <w:rPr>
          <w:rFonts w:ascii="Arial" w:eastAsia="Times New Roman" w:hAnsi="Arial"/>
          <w:color w:val="000000"/>
        </w:rPr>
        <w:t xml:space="preserve">l deliver to the County, at a mutually agreed upon nearby location (such as Landfill Energy Systems, Inc.), methane gas sufficient to generate the equivalent of an average of two million kilowatt hours annually of electricity, with the intent that it will </w:t>
      </w:r>
      <w:r>
        <w:rPr>
          <w:rFonts w:ascii="Arial" w:eastAsia="Times New Roman" w:hAnsi="Arial"/>
          <w:color w:val="000000"/>
        </w:rPr>
        <w:t xml:space="preserve">be used by the County to generate electricity sufficient for the normal operating needs of County-owned facility(ies) and/or for use by County-owned facilities as a fuel for </w:t>
      </w:r>
      <w:r>
        <w:rPr>
          <w:rFonts w:ascii="Arial" w:eastAsia="Times New Roman" w:hAnsi="Arial"/>
          <w:color w:val="000000"/>
        </w:rPr>
        <w:lastRenderedPageBreak/>
        <w:t>operations, such as the Norman Cole Water Pollution Control Plant. The applicant s</w:t>
      </w:r>
      <w:r>
        <w:rPr>
          <w:rFonts w:ascii="Arial" w:eastAsia="Times New Roman" w:hAnsi="Arial"/>
          <w:color w:val="000000"/>
        </w:rPr>
        <w:t>hall pay the incremental cost, if any, of processing the methane gas so that it is suitable for combustion by industry-standard co-generation infrastructure.  Subject to the applicant having received the easements, at no cost to the applicant, necessary to</w:t>
      </w:r>
      <w:r>
        <w:rPr>
          <w:rFonts w:ascii="Arial" w:eastAsia="Times New Roman" w:hAnsi="Arial"/>
          <w:color w:val="000000"/>
        </w:rPr>
        <w:t xml:space="preserve"> accomplish such delivery of the methane gas to the County, delivery shall begin within 18 months of approval and continue until the cessation of landfill activities or until December 31, 2040, whichever occurs first. Should the applicant fail to provide s</w:t>
      </w:r>
      <w:r>
        <w:rPr>
          <w:rFonts w:ascii="Arial" w:eastAsia="Times New Roman" w:hAnsi="Arial"/>
          <w:color w:val="000000"/>
        </w:rPr>
        <w:t>ufficient methane gas to generate the 2 million kilowatt hours in any given year, it must pay the County $0.125 for each equivalent kilowatt of electricity that cannot be generated due to the unsupplied methane gas, up to a maximum payment of $250,000 in a</w:t>
      </w:r>
      <w:r>
        <w:rPr>
          <w:rFonts w:ascii="Arial" w:eastAsia="Times New Roman" w:hAnsi="Arial"/>
          <w:color w:val="000000"/>
        </w:rPr>
        <w:t>ny given year. After 2040, the applicant will provide to the County 50% of the methane gas that is recovered from the methane recovery system and will continue to do so each year until DEQ Release.</w:t>
      </w:r>
    </w:p>
    <w:p w:rsidR="00A352D7" w:rsidRDefault="00311A28">
      <w:pPr>
        <w:widowControl/>
        <w:numPr>
          <w:ilvl w:val="0"/>
          <w:numId w:val="24"/>
        </w:numPr>
        <w:shd w:val="clear" w:color="auto" w:fill="auto"/>
        <w:tabs>
          <w:tab w:val="clear" w:pos="720"/>
          <w:tab w:val="left" w:pos="1440"/>
          <w:tab w:val="right" w:pos="9360"/>
        </w:tabs>
        <w:autoSpaceDE/>
        <w:autoSpaceDN/>
        <w:adjustRightInd/>
        <w:spacing w:before="276" w:line="276" w:lineRule="exact"/>
        <w:ind w:left="1440" w:hanging="720"/>
        <w:jc w:val="both"/>
        <w:rPr>
          <w:rFonts w:ascii="Arial" w:eastAsia="Times New Roman" w:hAnsi="Arial"/>
          <w:color w:val="000000"/>
        </w:rPr>
      </w:pPr>
      <w:r>
        <w:rPr>
          <w:rFonts w:ascii="Arial" w:eastAsia="Times New Roman" w:hAnsi="Arial"/>
          <w:color w:val="000000"/>
        </w:rPr>
        <w:t>As depicted on the SEA Plat, in Phase 4, the applicant sha</w:t>
      </w:r>
      <w:r>
        <w:rPr>
          <w:rFonts w:ascii="Arial" w:eastAsia="Times New Roman" w:hAnsi="Arial"/>
          <w:color w:val="000000"/>
        </w:rPr>
        <w:t xml:space="preserve">ll create an </w:t>
      </w:r>
      <w:r>
        <w:rPr>
          <w:rFonts w:ascii="Arial" w:eastAsia="Times New Roman" w:hAnsi="Arial"/>
          <w:color w:val="000000"/>
        </w:rPr>
        <w:br/>
        <w:t>approximately 10-acre platform within the southern portion of the operations area to facilitate the provision of solar panels by the applicant and/or others.</w:t>
      </w:r>
    </w:p>
    <w:p w:rsidR="00A352D7" w:rsidRDefault="00311A28">
      <w:pPr>
        <w:widowControl/>
        <w:numPr>
          <w:ilvl w:val="0"/>
          <w:numId w:val="24"/>
        </w:numPr>
        <w:shd w:val="clear" w:color="auto" w:fill="auto"/>
        <w:tabs>
          <w:tab w:val="clear" w:pos="720"/>
          <w:tab w:val="left" w:pos="1440"/>
          <w:tab w:val="right" w:pos="9360"/>
        </w:tabs>
        <w:autoSpaceDE/>
        <w:autoSpaceDN/>
        <w:adjustRightInd/>
        <w:spacing w:before="276" w:line="276" w:lineRule="exact"/>
        <w:ind w:left="1440" w:hanging="720"/>
        <w:jc w:val="both"/>
        <w:rPr>
          <w:rFonts w:ascii="Arial" w:eastAsia="Times New Roman" w:hAnsi="Arial"/>
          <w:color w:val="000000"/>
        </w:rPr>
      </w:pPr>
      <w:r>
        <w:rPr>
          <w:rFonts w:ascii="Arial" w:eastAsia="Times New Roman" w:hAnsi="Arial"/>
          <w:color w:val="000000"/>
        </w:rPr>
        <w:t xml:space="preserve">By the end of Phase 5, the applicant shall have established an approximately </w:t>
      </w:r>
      <w:r>
        <w:rPr>
          <w:rFonts w:ascii="Arial" w:eastAsia="Times New Roman" w:hAnsi="Arial"/>
          <w:color w:val="000000"/>
          <w:spacing w:val="3"/>
        </w:rPr>
        <w:t>40-acre</w:t>
      </w:r>
      <w:r>
        <w:rPr>
          <w:rFonts w:ascii="Arial" w:eastAsia="Times New Roman" w:hAnsi="Arial"/>
          <w:color w:val="000000"/>
          <w:spacing w:val="3"/>
        </w:rPr>
        <w:t xml:space="preserve"> platform to facilitate future creation of a larger GEP, which may include </w:t>
      </w:r>
      <w:r>
        <w:rPr>
          <w:rFonts w:ascii="Arial" w:eastAsia="Times New Roman" w:hAnsi="Arial"/>
          <w:color w:val="000000"/>
        </w:rPr>
        <w:t>the potential for up to 12 wind turbines (or wind infrastructure sufficient to produce at least 3 megawatt peak electric power capacity), solar panels (or solar conversion infrastru</w:t>
      </w:r>
      <w:r>
        <w:rPr>
          <w:rFonts w:ascii="Arial" w:eastAsia="Times New Roman" w:hAnsi="Arial"/>
          <w:color w:val="000000"/>
        </w:rPr>
        <w:t>cture sufficient to produce at least 7.5 megawatt peak electric power capacity) and/or more advanced technologies (referred to as the Full Green Energy Park "Full</w:t>
      </w:r>
      <w:r>
        <w:rPr>
          <w:rFonts w:ascii="Arial" w:eastAsia="Times New Roman" w:hAnsi="Arial"/>
          <w:b/>
          <w:color w:val="000000"/>
        </w:rPr>
        <w:t xml:space="preserve"> </w:t>
      </w:r>
      <w:r>
        <w:rPr>
          <w:rFonts w:ascii="Arial" w:eastAsia="Times New Roman" w:hAnsi="Arial"/>
          <w:color w:val="000000"/>
        </w:rPr>
        <w:t>GEP</w:t>
      </w:r>
      <w:r>
        <w:rPr>
          <w:rFonts w:ascii="Arial" w:eastAsia="Times New Roman" w:hAnsi="Arial"/>
          <w:b/>
          <w:color w:val="000000"/>
        </w:rPr>
        <w:t>"</w:t>
      </w:r>
      <w:r>
        <w:rPr>
          <w:rFonts w:ascii="Arial" w:eastAsia="Times New Roman" w:hAnsi="Arial"/>
          <w:color w:val="000000"/>
        </w:rPr>
        <w:t>) to be provided by public and/or private entities with the applicant's agreement.</w:t>
      </w:r>
    </w:p>
    <w:p w:rsidR="00A352D7" w:rsidRDefault="00311A28">
      <w:pPr>
        <w:widowControl/>
        <w:numPr>
          <w:ilvl w:val="0"/>
          <w:numId w:val="24"/>
        </w:numPr>
        <w:shd w:val="clear" w:color="auto" w:fill="auto"/>
        <w:tabs>
          <w:tab w:val="clear" w:pos="720"/>
          <w:tab w:val="left" w:pos="1440"/>
          <w:tab w:val="right" w:pos="9360"/>
        </w:tabs>
        <w:autoSpaceDE/>
        <w:autoSpaceDN/>
        <w:adjustRightInd/>
        <w:spacing w:before="276" w:line="276" w:lineRule="exact"/>
        <w:ind w:left="1440" w:hanging="720"/>
        <w:jc w:val="both"/>
        <w:rPr>
          <w:rFonts w:ascii="Arial" w:eastAsia="Times New Roman" w:hAnsi="Arial"/>
          <w:color w:val="000000"/>
        </w:rPr>
      </w:pPr>
      <w:r>
        <w:rPr>
          <w:rFonts w:ascii="Arial" w:eastAsia="Times New Roman" w:hAnsi="Arial"/>
          <w:color w:val="000000"/>
        </w:rPr>
        <w:t xml:space="preserve">Prior </w:t>
      </w:r>
      <w:r>
        <w:rPr>
          <w:rFonts w:ascii="Arial" w:eastAsia="Times New Roman" w:hAnsi="Arial"/>
          <w:color w:val="000000"/>
        </w:rPr>
        <w:t xml:space="preserve">to establishment of the Phase 5 wind turbines, the applicant and/or others, as appropriate, shall either demonstrate that the electrical energy generated shall be used to support the principal uses of the property or, should the Board of Supervisors amend </w:t>
      </w:r>
      <w:r>
        <w:rPr>
          <w:rFonts w:ascii="Arial" w:eastAsia="Times New Roman" w:hAnsi="Arial"/>
          <w:color w:val="000000"/>
        </w:rPr>
        <w:t>the Zoning Ordinance to permit an increase in height for Category 2 electrical generating facilities, the applicant shall be subject to the approved Zoning Ordinance Amendment,  or the applicant shall file a variance request.</w:t>
      </w:r>
    </w:p>
    <w:p w:rsidR="00A352D7" w:rsidRDefault="00311A28">
      <w:pPr>
        <w:pStyle w:val="Heading1"/>
        <w:widowControl/>
        <w:numPr>
          <w:ilvl w:val="0"/>
          <w:numId w:val="22"/>
        </w:numPr>
        <w:shd w:val="clear" w:color="auto" w:fill="auto"/>
        <w:tabs>
          <w:tab w:val="left" w:pos="720"/>
          <w:tab w:val="right" w:pos="9360"/>
        </w:tabs>
        <w:autoSpaceDE/>
        <w:autoSpaceDN/>
        <w:adjustRightInd/>
        <w:spacing w:before="276" w:line="276" w:lineRule="exact"/>
        <w:ind w:left="810"/>
        <w:rPr>
          <w:rFonts w:ascii="Arial" w:eastAsia="Times New Roman" w:hAnsi="Arial"/>
          <w:color w:val="000000"/>
        </w:rPr>
      </w:pPr>
      <w:r>
        <w:rPr>
          <w:rFonts w:ascii="Arial" w:eastAsia="Times New Roman" w:hAnsi="Arial"/>
          <w:color w:val="000000"/>
        </w:rPr>
        <w:t xml:space="preserve">Wind turbines on the subject </w:t>
      </w:r>
      <w:r>
        <w:rPr>
          <w:rFonts w:ascii="Arial" w:eastAsia="Times New Roman" w:hAnsi="Arial"/>
          <w:color w:val="000000"/>
        </w:rPr>
        <w:t>property shall not exceed 180 feet in height (to include the rotor blades) and shall be in general accordance with the maximum dimensions, as shown on Sheet 14 of the SEA Plat.</w:t>
      </w:r>
    </w:p>
    <w:p w:rsidR="00A352D7" w:rsidRDefault="00311A28">
      <w:pPr>
        <w:pStyle w:val="Heading1"/>
        <w:widowControl/>
        <w:numPr>
          <w:ilvl w:val="0"/>
          <w:numId w:val="22"/>
        </w:numPr>
        <w:shd w:val="clear" w:color="auto" w:fill="auto"/>
        <w:tabs>
          <w:tab w:val="left" w:pos="720"/>
          <w:tab w:val="right" w:pos="9360"/>
        </w:tabs>
        <w:autoSpaceDE/>
        <w:autoSpaceDN/>
        <w:adjustRightInd/>
        <w:spacing w:before="276" w:line="276" w:lineRule="exact"/>
        <w:ind w:left="810"/>
        <w:rPr>
          <w:rFonts w:ascii="Arial" w:eastAsia="Times New Roman" w:hAnsi="Arial"/>
        </w:rPr>
      </w:pPr>
      <w:r>
        <w:rPr>
          <w:rFonts w:ascii="Arial" w:eastAsia="Times New Roman" w:hAnsi="Arial"/>
        </w:rPr>
        <w:t xml:space="preserve">The following shall be paid by the applicant to the Board for any green energy </w:t>
      </w:r>
      <w:r>
        <w:rPr>
          <w:rFonts w:ascii="Arial" w:eastAsia="Times New Roman" w:hAnsi="Arial"/>
        </w:rPr>
        <w:t xml:space="preserve">feature not provided within the time-frame specified in the following amounts in lieu of said features, if requested by the Board: (i) $1,000,000.00 for each wind turbine not installed within the 36 months of receiving all Necessary Approvals; </w:t>
      </w:r>
      <w:r>
        <w:rPr>
          <w:rFonts w:ascii="Arial" w:eastAsia="Times New Roman" w:hAnsi="Arial"/>
        </w:rPr>
        <w:lastRenderedPageBreak/>
        <w:t>(ii) $6,000,</w:t>
      </w:r>
      <w:r>
        <w:rPr>
          <w:rFonts w:ascii="Arial" w:eastAsia="Times New Roman" w:hAnsi="Arial"/>
        </w:rPr>
        <w:t>000.00 should the methane recovery system not be installed as approved by DEQ (while still being committed to pay $250,000 or to supply two million kilowatt hours annually); (iii) $3,000,000 should the solar not be installed within the 24 months of all Nec</w:t>
      </w:r>
      <w:r>
        <w:rPr>
          <w:rFonts w:ascii="Arial" w:eastAsia="Times New Roman" w:hAnsi="Arial"/>
        </w:rPr>
        <w:t xml:space="preserve">essary Approvals on the I-6 parcels; and $1,000,000.00 should the geothermal not be installed as approved by DEQ.  </w:t>
      </w:r>
    </w:p>
    <w:p w:rsidR="00A352D7" w:rsidRDefault="00311A28">
      <w:pPr>
        <w:spacing w:before="241" w:line="279" w:lineRule="exact"/>
        <w:jc w:val="both"/>
        <w:rPr>
          <w:rFonts w:ascii="Arial" w:eastAsia="Times New Roman" w:hAnsi="Arial"/>
          <w:color w:val="000000"/>
          <w:u w:val="single"/>
          <w:shd w:val="clear" w:color="auto" w:fill="FFFFFF"/>
        </w:rPr>
      </w:pPr>
      <w:r>
        <w:rPr>
          <w:rFonts w:ascii="Arial" w:eastAsia="Times New Roman" w:hAnsi="Arial"/>
          <w:color w:val="000000"/>
          <w:u w:val="single"/>
          <w:shd w:val="clear" w:color="auto" w:fill="FFFFFF"/>
        </w:rPr>
        <w:t>Other Public Contributions by the Applicant</w:t>
      </w:r>
    </w:p>
    <w:p w:rsidR="00A352D7" w:rsidRDefault="00A352D7">
      <w:pPr>
        <w:spacing w:before="241" w:line="279" w:lineRule="exact"/>
        <w:jc w:val="both"/>
        <w:rPr>
          <w:rFonts w:ascii="Arial" w:eastAsia="Times New Roman" w:hAnsi="Arial"/>
          <w:color w:val="000000"/>
          <w:u w:val="single"/>
          <w:shd w:val="clear" w:color="auto" w:fill="FFFFFF"/>
        </w:rPr>
      </w:pPr>
    </w:p>
    <w:p w:rsidR="00A352D7" w:rsidRDefault="00311A28">
      <w:pPr>
        <w:pStyle w:val="Heading1"/>
        <w:shd w:val="clear" w:color="auto" w:fill="auto"/>
        <w:rPr>
          <w:rFonts w:ascii="Arial" w:eastAsia="Times New Roman" w:hAnsi="Arial"/>
          <w:color w:val="000000"/>
          <w:shd w:val="clear" w:color="auto" w:fill="FFFFFF"/>
        </w:rPr>
      </w:pPr>
      <w:r>
        <w:rPr>
          <w:rFonts w:ascii="Arial" w:eastAsia="Times New Roman" w:hAnsi="Arial"/>
          <w:color w:val="000000"/>
          <w:shd w:val="clear" w:color="auto" w:fill="FFFFFF"/>
        </w:rPr>
        <w:t>Subject to receipt of all Necessary Approvals, the applicant shall contribute $15,000,000.00 to</w:t>
      </w:r>
      <w:r>
        <w:rPr>
          <w:rFonts w:ascii="Arial" w:eastAsia="Times New Roman" w:hAnsi="Arial"/>
          <w:color w:val="000000"/>
          <w:shd w:val="clear" w:color="auto" w:fill="FFFFFF"/>
        </w:rPr>
        <w:t xml:space="preserve"> the Fairfax County Board of Supervisors (Board) in installments of $750,000.00 each per year beginning no later than January 31, 2019 and ending no later than January 31, 2038. Said funds shall be payable to Fairfax County and earmarked toward local commu</w:t>
      </w:r>
      <w:r>
        <w:rPr>
          <w:rFonts w:ascii="Arial" w:eastAsia="Times New Roman" w:hAnsi="Arial"/>
          <w:color w:val="000000"/>
          <w:shd w:val="clear" w:color="auto" w:fill="FFFFFF"/>
        </w:rPr>
        <w:t xml:space="preserve">nity needs in the Lorton/South County area, as determined by the Board. These funds shall be in addition to the separate recreation contribution below and the other Green Energy Program expenditures and contributions to the County committed herein by this </w:t>
      </w:r>
      <w:r>
        <w:rPr>
          <w:rFonts w:ascii="Arial" w:eastAsia="Times New Roman" w:hAnsi="Arial"/>
          <w:color w:val="000000"/>
          <w:shd w:val="clear" w:color="auto" w:fill="FFFFFF"/>
        </w:rPr>
        <w:t>applicant.</w:t>
      </w:r>
    </w:p>
    <w:p w:rsidR="00A352D7" w:rsidRDefault="00311A28">
      <w:pPr>
        <w:pStyle w:val="Heading1"/>
        <w:shd w:val="clear" w:color="auto" w:fill="auto"/>
        <w:rPr>
          <w:rFonts w:ascii="Arial" w:eastAsia="Times New Roman" w:hAnsi="Arial"/>
          <w:color w:val="000000"/>
          <w:shd w:val="clear" w:color="auto" w:fill="FFFFFF"/>
        </w:rPr>
      </w:pPr>
      <w:r>
        <w:rPr>
          <w:rFonts w:ascii="Arial" w:eastAsia="Times New Roman" w:hAnsi="Arial"/>
          <w:color w:val="000000"/>
          <w:shd w:val="clear" w:color="auto" w:fill="FFFFFF"/>
        </w:rPr>
        <w:t>In addition to the above contribution, subject to receipt of all Necessary Approvals, the applicant shall contribute $3,200,000.00 to the Fairfax County Park Authority no later than January 31, 2019, for use for recreational facilities in the Lo</w:t>
      </w:r>
      <w:r>
        <w:rPr>
          <w:rFonts w:ascii="Arial" w:eastAsia="Times New Roman" w:hAnsi="Arial"/>
          <w:color w:val="000000"/>
          <w:shd w:val="clear" w:color="auto" w:fill="FFFFFF"/>
        </w:rPr>
        <w:t>rton/South County area only.</w:t>
      </w:r>
    </w:p>
    <w:p w:rsidR="00A352D7" w:rsidRDefault="00311A28">
      <w:pPr>
        <w:pStyle w:val="Heading1"/>
        <w:shd w:val="clear" w:color="auto" w:fill="auto"/>
        <w:rPr>
          <w:rFonts w:ascii="Arial" w:eastAsia="Times New Roman" w:hAnsi="Arial"/>
          <w:color w:val="000000"/>
          <w:shd w:val="clear" w:color="auto" w:fill="FFFFFF"/>
        </w:rPr>
      </w:pPr>
      <w:r>
        <w:rPr>
          <w:rFonts w:ascii="Arial" w:eastAsia="Times New Roman" w:hAnsi="Arial"/>
          <w:color w:val="000000"/>
          <w:shd w:val="clear" w:color="auto" w:fill="FFFFFF"/>
        </w:rPr>
        <w:t>As shown on Sheets 6 through 14 of the SEA Plat and subject to DEQ approval, an "Observation Point" shall be installed by the applicant during Phase 1 in the general location of the Initial Turbines and be open for visitors wit</w:t>
      </w:r>
      <w:r>
        <w:rPr>
          <w:rFonts w:ascii="Arial" w:eastAsia="Times New Roman" w:hAnsi="Arial"/>
          <w:color w:val="000000"/>
          <w:shd w:val="clear" w:color="auto" w:fill="FFFFFF"/>
        </w:rPr>
        <w:t>hin 120 days after all the Initial Turbines begin operation. The Observation Point and an ancillary shuttle service shall only be available for controlled access and remain in operation until DEQ Release in accordance with the following:</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Access to the Obse</w:t>
      </w:r>
      <w:r>
        <w:rPr>
          <w:rFonts w:ascii="Arial" w:eastAsia="Times New Roman" w:hAnsi="Arial"/>
          <w:color w:val="000000"/>
        </w:rPr>
        <w:t>rvation Point shall be controlled solely by the applicant via shuttle service at no cost to visitors.  The applicant may require that each visitor execute a liability waiver and release. Visitors shall park at the solar farm located on the contiguous PCA P</w:t>
      </w:r>
      <w:r>
        <w:rPr>
          <w:rFonts w:ascii="Arial" w:eastAsia="Times New Roman" w:hAnsi="Arial"/>
          <w:color w:val="000000"/>
        </w:rPr>
        <w:t>roperty and travel on-site, escorted by the landowner, up to the Observation Point.</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The applicant shall provide a parking easement at the PCA Property for the duration of the operation of the off-site visitor parking/shuttle service area.  The parking ease</w:t>
      </w:r>
      <w:r>
        <w:rPr>
          <w:rFonts w:ascii="Arial" w:eastAsia="Times New Roman" w:hAnsi="Arial"/>
          <w:color w:val="000000"/>
        </w:rPr>
        <w:t>ment shall be recorded in the land records with a copy provided to DPWES.</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Parking at the off-site parking area on the PCA Property shall only be permitted for the Observation Point visitors and shuttle service and for maintenance vehicles while providing m</w:t>
      </w:r>
      <w:r>
        <w:rPr>
          <w:rFonts w:ascii="Arial" w:eastAsia="Times New Roman" w:hAnsi="Arial"/>
          <w:color w:val="000000"/>
        </w:rPr>
        <w:t>aintenance to the electrical generating facilities at the PCA Property and to the PCA property.</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The applicant shall provide for two established times (and duration) for tours each month</w:t>
      </w:r>
      <w:r>
        <w:rPr>
          <w:rFonts w:ascii="Arial" w:eastAsia="Times New Roman" w:hAnsi="Arial"/>
          <w:b/>
          <w:color w:val="000000"/>
        </w:rPr>
        <w:t xml:space="preserve"> </w:t>
      </w:r>
      <w:r>
        <w:rPr>
          <w:rFonts w:ascii="Arial" w:eastAsia="Times New Roman" w:hAnsi="Arial"/>
          <w:color w:val="000000"/>
        </w:rPr>
        <w:t xml:space="preserve">and also allow a limited number of additional tours to be </w:t>
      </w:r>
      <w:r>
        <w:rPr>
          <w:rFonts w:ascii="Arial" w:eastAsia="Times New Roman" w:hAnsi="Arial"/>
          <w:color w:val="000000"/>
        </w:rPr>
        <w:lastRenderedPageBreak/>
        <w:t>scheduled wi</w:t>
      </w:r>
      <w:r>
        <w:rPr>
          <w:rFonts w:ascii="Arial" w:eastAsia="Times New Roman" w:hAnsi="Arial"/>
          <w:color w:val="000000"/>
        </w:rPr>
        <w:t>th ample notice.  Each regular and additional tour shall require a minimum and maximum number (e.g., no fewer than five (5) and no more than twenty (20) visitors, as determined by the Applicant) of visitors to occur.  The frequency of regularly scheduled t</w:t>
      </w:r>
      <w:r>
        <w:rPr>
          <w:rFonts w:ascii="Arial" w:eastAsia="Times New Roman" w:hAnsi="Arial"/>
          <w:color w:val="000000"/>
        </w:rPr>
        <w:t>ours may be reduced by Applicant in Applicant's sole discretion to reflect actual demand and/or current weather conditions. The applicant may implement a pre-registration system.</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In addition to the above tours, the applicant shall collaborate with the Coun</w:t>
      </w:r>
      <w:r>
        <w:rPr>
          <w:rFonts w:ascii="Arial" w:eastAsia="Times New Roman" w:hAnsi="Arial"/>
          <w:color w:val="000000"/>
        </w:rPr>
        <w:t>ty upon request by a member of the Board to host pre-scheduled community special events at the Observation Point. For each special event considered, the applicant shall determine whether the proposed scope, timing and number of participants may be accommod</w:t>
      </w:r>
      <w:r>
        <w:rPr>
          <w:rFonts w:ascii="Arial" w:eastAsia="Times New Roman" w:hAnsi="Arial"/>
          <w:color w:val="000000"/>
        </w:rPr>
        <w:t xml:space="preserve">ated in a safe manner that does not interfere with landfill and other operations, including the Green Energy Park. Scheduling shall be proposed through the applicant, and shall be limited as to number of special events (not to exceed three in any calendar </w:t>
      </w:r>
      <w:r>
        <w:rPr>
          <w:rFonts w:ascii="Arial" w:eastAsia="Times New Roman" w:hAnsi="Arial"/>
          <w:color w:val="000000"/>
        </w:rPr>
        <w:t>year) and number of participants in each as determined by agreement with the applicant. Special events shall be restricted to the Observation Point area and occur only from April 15 to November 15, outside of landfill operating hours (unless otherwise agre</w:t>
      </w:r>
      <w:r>
        <w:rPr>
          <w:rFonts w:ascii="Arial" w:eastAsia="Times New Roman" w:hAnsi="Arial"/>
          <w:color w:val="000000"/>
        </w:rPr>
        <w:t>ed to by the applicant). The County shall be responsible for security and all other logistics. The events shall be consistent with the nature of a working landfill and the GEP, and shall not involve erection of tents or other structures, or involve food or</w:t>
      </w:r>
      <w:r>
        <w:rPr>
          <w:rFonts w:ascii="Arial" w:eastAsia="Times New Roman" w:hAnsi="Arial"/>
          <w:color w:val="000000"/>
        </w:rPr>
        <w:t xml:space="preserve"> alcohol. Each participant shall be required to execute a release of liability in favor of the applicant and shall be transported to and from the site only in shuttle-type vehicles approved by the applicant and the applicant shall not be responsible to pro</w:t>
      </w:r>
      <w:r>
        <w:rPr>
          <w:rFonts w:ascii="Arial" w:eastAsia="Times New Roman" w:hAnsi="Arial"/>
          <w:color w:val="000000"/>
        </w:rPr>
        <w:t>vide such transportation. The applicant, in its sole discretion, may decline or cancel proposed special events due to safety, inclement weather and/or other conditions or concerns related to landfill and other operations. The applicant shall attempt to acc</w:t>
      </w:r>
      <w:r>
        <w:rPr>
          <w:rFonts w:ascii="Arial" w:eastAsia="Times New Roman" w:hAnsi="Arial"/>
          <w:color w:val="000000"/>
        </w:rPr>
        <w:t>ommodate such special events until DEQ Release.</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spacing w:val="-1"/>
        </w:rPr>
        <w:t>Outdoor style wooden bench seating shall be provided for up to 20 visitors, with a lectern at the head of the benches to provide for speakers.</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Tourist style telescopes (on posts) shall be provided at the east</w:t>
      </w:r>
      <w:r>
        <w:rPr>
          <w:rFonts w:ascii="Arial" w:eastAsia="Times New Roman" w:hAnsi="Arial"/>
          <w:color w:val="000000"/>
        </w:rPr>
        <w:t xml:space="preserve"> and west flanks of the Observation Point area. Actual location of each telescope could vary from edge of the seating area to ridges of the elevation.</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Information signs describing the "Green Energy Triangle," history of the area and local attractions shall</w:t>
      </w:r>
      <w:r>
        <w:rPr>
          <w:rFonts w:ascii="Arial" w:eastAsia="Times New Roman" w:hAnsi="Arial"/>
          <w:color w:val="000000"/>
        </w:rPr>
        <w:t xml:space="preserve"> be provided.</w:t>
      </w:r>
    </w:p>
    <w:p w:rsidR="00A352D7" w:rsidRDefault="00311A28">
      <w:pPr>
        <w:widowControl/>
        <w:numPr>
          <w:ilvl w:val="0"/>
          <w:numId w:val="25"/>
        </w:numPr>
        <w:shd w:val="clear" w:color="auto" w:fill="auto"/>
        <w:tabs>
          <w:tab w:val="clear" w:pos="720"/>
          <w:tab w:val="left" w:pos="1440"/>
          <w:tab w:val="right" w:pos="9360"/>
        </w:tabs>
        <w:autoSpaceDE/>
        <w:autoSpaceDN/>
        <w:adjustRightInd/>
        <w:spacing w:before="242" w:line="276" w:lineRule="exact"/>
        <w:ind w:left="1440" w:hanging="720"/>
        <w:jc w:val="both"/>
        <w:rPr>
          <w:rFonts w:ascii="Arial" w:eastAsia="Times New Roman" w:hAnsi="Arial"/>
          <w:color w:val="000000"/>
        </w:rPr>
      </w:pPr>
      <w:r>
        <w:rPr>
          <w:rFonts w:ascii="Arial" w:eastAsia="Times New Roman" w:hAnsi="Arial"/>
          <w:color w:val="000000"/>
        </w:rPr>
        <w:t>The Observation Point shall be open for tours beginning during Phase 1 (as provided above) until the beginning of Phase 5, generally as depicted on the SEA Plat. At the beginning of Phase 5, when the Initial Turbines are removed (to permit fi</w:t>
      </w:r>
      <w:r>
        <w:rPr>
          <w:rFonts w:ascii="Arial" w:eastAsia="Times New Roman" w:hAnsi="Arial"/>
          <w:color w:val="000000"/>
        </w:rPr>
        <w:t xml:space="preserve">lling and capping within the southern platform area), the Observation Point and its related features shall be relocated </w:t>
      </w:r>
      <w:r>
        <w:rPr>
          <w:rFonts w:ascii="Arial" w:eastAsia="Times New Roman" w:hAnsi="Arial"/>
          <w:color w:val="000000"/>
        </w:rPr>
        <w:lastRenderedPageBreak/>
        <w:t>northward, with the understanding that its location likely will need to be further moved as Phase 5 landfill operations and capping proc</w:t>
      </w:r>
      <w:r>
        <w:rPr>
          <w:rFonts w:ascii="Arial" w:eastAsia="Times New Roman" w:hAnsi="Arial"/>
          <w:color w:val="000000"/>
        </w:rPr>
        <w:t>eed toward closure. Thus, during Phase 5 there shall be gaps and transition periods (not to exceed 18 months cumulatively) during which no Observation Point shall be available due to filling, settling and capping activities.</w:t>
      </w:r>
    </w:p>
    <w:p w:rsidR="00A352D7" w:rsidRDefault="00A352D7">
      <w:pPr>
        <w:pStyle w:val="Heading1"/>
        <w:numPr>
          <w:ilvl w:val="0"/>
          <w:numId w:val="0"/>
        </w:numPr>
        <w:ind w:left="720"/>
        <w:rPr>
          <w:rFonts w:eastAsia="Times New Roman"/>
          <w:color w:val="000000"/>
          <w:shd w:val="clear" w:color="auto" w:fill="FFFFFF"/>
        </w:rPr>
      </w:pPr>
    </w:p>
    <w:p w:rsidR="00A352D7" w:rsidRDefault="00311A28">
      <w:pPr>
        <w:pStyle w:val="Heading1"/>
        <w:shd w:val="clear" w:color="auto" w:fill="auto"/>
        <w:rPr>
          <w:rFonts w:ascii="Arial" w:eastAsia="Times New Roman" w:hAnsi="Arial"/>
          <w:color w:val="000000"/>
          <w:shd w:val="clear" w:color="auto" w:fill="FFFFFF"/>
        </w:rPr>
      </w:pPr>
      <w:r>
        <w:rPr>
          <w:rFonts w:ascii="Arial" w:eastAsia="Times New Roman" w:hAnsi="Arial"/>
          <w:color w:val="000000"/>
          <w:shd w:val="clear" w:color="auto" w:fill="FFFFFF"/>
        </w:rPr>
        <w:t xml:space="preserve">The applicant shall provide, </w:t>
      </w:r>
      <w:r>
        <w:rPr>
          <w:rFonts w:ascii="Arial" w:eastAsia="Times New Roman" w:hAnsi="Arial"/>
          <w:color w:val="000000"/>
          <w:shd w:val="clear" w:color="auto" w:fill="FFFFFF"/>
        </w:rPr>
        <w:t>within 12 months of having received all Necessary Approvals, $200,000.00 to the Board as a contribution toward an educational feature available to the public which describes the renewable energy operations on the applicant's properties as well as those ren</w:t>
      </w:r>
      <w:r>
        <w:rPr>
          <w:rFonts w:ascii="Arial" w:eastAsia="Times New Roman" w:hAnsi="Arial"/>
          <w:color w:val="000000"/>
          <w:shd w:val="clear" w:color="auto" w:fill="FFFFFF"/>
        </w:rPr>
        <w:t>ewable energy activities occurring on neighboring County land, and provides information on renewable energy.</w:t>
      </w:r>
    </w:p>
    <w:p w:rsidR="00A352D7" w:rsidRDefault="00311A28">
      <w:pPr>
        <w:pStyle w:val="Heading1"/>
        <w:shd w:val="clear" w:color="auto" w:fill="auto"/>
        <w:rPr>
          <w:rFonts w:eastAsia="Times New Roman"/>
          <w:color w:val="000000"/>
          <w:shd w:val="clear" w:color="auto" w:fill="FFFFFF"/>
        </w:rPr>
      </w:pPr>
      <w:r>
        <w:rPr>
          <w:rFonts w:ascii="Arial" w:eastAsia="Times New Roman" w:hAnsi="Arial"/>
          <w:color w:val="000000"/>
          <w:shd w:val="clear" w:color="auto" w:fill="FFFFFF"/>
        </w:rPr>
        <w:t>The applicant shall provide to the County operational data (operating cost, productivity, weather and revenue information), equipment specification</w:t>
      </w:r>
      <w:r>
        <w:rPr>
          <w:rFonts w:ascii="Arial" w:eastAsia="Times New Roman" w:hAnsi="Arial"/>
          <w:color w:val="000000"/>
          <w:shd w:val="clear" w:color="auto" w:fill="FFFFFF"/>
        </w:rPr>
        <w:t>s and maintenance data related to its renewable energy park on an annual basis over the GEP's operating life. Said data shall be available electronically for access and use by the general public and academic bodies, and for research.</w:t>
      </w:r>
    </w:p>
    <w:p w:rsidR="00A352D7" w:rsidRDefault="00311A28">
      <w:pPr>
        <w:pStyle w:val="Heading1"/>
        <w:numPr>
          <w:ilvl w:val="0"/>
          <w:numId w:val="0"/>
        </w:numPr>
        <w:shd w:val="clear" w:color="auto" w:fill="auto"/>
        <w:ind w:left="720"/>
        <w:rPr>
          <w:rFonts w:ascii="Arial" w:eastAsia="Times New Roman" w:hAnsi="Arial"/>
          <w:color w:val="000000"/>
          <w:shd w:val="clear" w:color="auto" w:fill="FFFFFF"/>
        </w:rPr>
      </w:pPr>
      <w:r>
        <w:rPr>
          <w:rFonts w:ascii="Arial" w:eastAsia="Times New Roman" w:hAnsi="Arial"/>
          <w:color w:val="000000"/>
          <w:shd w:val="clear" w:color="auto" w:fill="FFFFFF"/>
        </w:rPr>
        <w:t>The applicant's consul</w:t>
      </w:r>
      <w:r>
        <w:rPr>
          <w:rFonts w:ascii="Arial" w:eastAsia="Times New Roman" w:hAnsi="Arial"/>
          <w:color w:val="000000"/>
          <w:shd w:val="clear" w:color="auto" w:fill="FFFFFF"/>
        </w:rPr>
        <w:t>tant shall prepare a baseline study, consistent with U.S. Fish &amp; Wildlife Service Tier 2 standards, that examines migratory bird patterns, including endangered species, and submit said study to the Department of Planning and Zoning and to DPWES prior to is</w:t>
      </w:r>
      <w:r>
        <w:rPr>
          <w:rFonts w:ascii="Arial" w:eastAsia="Times New Roman" w:hAnsi="Arial"/>
          <w:color w:val="000000"/>
          <w:shd w:val="clear" w:color="auto" w:fill="FFFFFF"/>
        </w:rPr>
        <w:t xml:space="preserve">suance of the permit for installation of the first Initial Turbine. </w:t>
      </w:r>
    </w:p>
    <w:p w:rsidR="00A352D7" w:rsidRDefault="00311A28">
      <w:pPr>
        <w:pStyle w:val="Heading1"/>
        <w:numPr>
          <w:ilvl w:val="0"/>
          <w:numId w:val="0"/>
        </w:numPr>
        <w:shd w:val="clear" w:color="auto" w:fill="auto"/>
        <w:ind w:left="720"/>
        <w:rPr>
          <w:rFonts w:ascii="Arial" w:eastAsia="Times New Roman" w:hAnsi="Arial"/>
          <w:color w:val="000000"/>
          <w:shd w:val="clear" w:color="auto" w:fill="FFFFFF"/>
        </w:rPr>
      </w:pPr>
      <w:r>
        <w:rPr>
          <w:rFonts w:ascii="Arial" w:eastAsia="Times New Roman" w:hAnsi="Arial"/>
          <w:color w:val="000000"/>
          <w:shd w:val="clear" w:color="auto" w:fill="FFFFFF"/>
        </w:rPr>
        <w:t>If the local Audubon Society requests to conduct a study to gather and analyze empirical field data from the wind turbines, the applicant shall cooperate by allowing members on site to ga</w:t>
      </w:r>
      <w:r>
        <w:rPr>
          <w:rFonts w:ascii="Arial" w:eastAsia="Times New Roman" w:hAnsi="Arial"/>
          <w:color w:val="000000"/>
          <w:shd w:val="clear" w:color="auto" w:fill="FFFFFF"/>
        </w:rPr>
        <w:t>ther such data provided (i) there shall be no interference in landfill or other operations, (ii) each study participant shall follow designated safety procedures and shall execute a liability waivers/release in favor of the applicant, and (iii) no liabilit</w:t>
      </w:r>
      <w:r>
        <w:rPr>
          <w:rFonts w:ascii="Arial" w:eastAsia="Times New Roman" w:hAnsi="Arial"/>
          <w:color w:val="000000"/>
          <w:shd w:val="clear" w:color="auto" w:fill="FFFFFF"/>
        </w:rPr>
        <w:t xml:space="preserve">y of any kind related to such activities is assumed by the applicant. </w:t>
      </w:r>
    </w:p>
    <w:p w:rsidR="00A352D7" w:rsidRDefault="00311A28">
      <w:pPr>
        <w:pStyle w:val="Heading1"/>
        <w:numPr>
          <w:ilvl w:val="0"/>
          <w:numId w:val="0"/>
        </w:numPr>
        <w:shd w:val="clear" w:color="auto" w:fill="auto"/>
        <w:ind w:left="720"/>
        <w:rPr>
          <w:rFonts w:eastAsia="Times New Roman"/>
          <w:color w:val="000000"/>
          <w:shd w:val="clear" w:color="auto" w:fill="FFFFFF"/>
        </w:rPr>
      </w:pPr>
      <w:r>
        <w:rPr>
          <w:rFonts w:ascii="Arial" w:eastAsia="Times New Roman" w:hAnsi="Arial"/>
          <w:color w:val="000000"/>
          <w:shd w:val="clear" w:color="auto" w:fill="FFFFFF"/>
        </w:rPr>
        <w:t>If requested, the applicant shall collaborate with a wildlife protection organization for the conduct of annual or longer periodic reviews of the turbine operation to determine what, if</w:t>
      </w:r>
      <w:r>
        <w:rPr>
          <w:rFonts w:ascii="Arial" w:eastAsia="Times New Roman" w:hAnsi="Arial"/>
          <w:color w:val="000000"/>
          <w:shd w:val="clear" w:color="auto" w:fill="FFFFFF"/>
        </w:rPr>
        <w:t xml:space="preserve"> any, impact they may have had on birdlife and local wildlife provided (i) there shall be no interference in landfill or other operations, (ii) each study participant shall follow designated safety procedures and shall execute a liability waiver/release, (</w:t>
      </w:r>
      <w:r>
        <w:rPr>
          <w:rFonts w:ascii="Arial" w:eastAsia="Times New Roman" w:hAnsi="Arial"/>
          <w:color w:val="000000"/>
          <w:shd w:val="clear" w:color="auto" w:fill="FFFFFF"/>
        </w:rPr>
        <w:t>iii) no liability of any kind related to such activities is assumed by the applicant, and (iv) all such data gathered shall be made available to the County and the public as part of the information-sharing requirement.</w:t>
      </w:r>
    </w:p>
    <w:p w:rsidR="00A352D7" w:rsidRDefault="00311A28">
      <w:pPr>
        <w:widowControl/>
        <w:shd w:val="clear" w:color="auto" w:fill="auto"/>
        <w:tabs>
          <w:tab w:val="left" w:pos="720"/>
          <w:tab w:val="right" w:pos="9360"/>
        </w:tabs>
        <w:autoSpaceDE/>
        <w:autoSpaceDN/>
        <w:adjustRightInd/>
        <w:spacing w:before="242" w:line="276" w:lineRule="exact"/>
        <w:jc w:val="both"/>
        <w:rPr>
          <w:rFonts w:ascii="Arial" w:eastAsia="Times New Roman" w:hAnsi="Arial"/>
          <w:color w:val="000000"/>
          <w:u w:val="single"/>
        </w:rPr>
      </w:pPr>
      <w:r>
        <w:rPr>
          <w:rFonts w:ascii="Arial" w:eastAsia="Times New Roman" w:hAnsi="Arial"/>
          <w:color w:val="000000"/>
          <w:u w:val="single"/>
        </w:rPr>
        <w:t>Recreational Uses</w:t>
      </w:r>
    </w:p>
    <w:p w:rsidR="00A352D7" w:rsidRDefault="00A352D7">
      <w:pPr>
        <w:widowControl/>
        <w:shd w:val="clear" w:color="auto" w:fill="auto"/>
        <w:tabs>
          <w:tab w:val="left" w:pos="720"/>
          <w:tab w:val="right" w:pos="9360"/>
        </w:tabs>
        <w:autoSpaceDE/>
        <w:autoSpaceDN/>
        <w:adjustRightInd/>
        <w:spacing w:before="242" w:line="276" w:lineRule="exact"/>
        <w:jc w:val="both"/>
        <w:rPr>
          <w:rFonts w:ascii="Arial" w:eastAsia="Times New Roman" w:hAnsi="Arial"/>
          <w:color w:val="000000"/>
        </w:rPr>
      </w:pPr>
    </w:p>
    <w:p w:rsidR="00A352D7" w:rsidRDefault="00311A28">
      <w:pPr>
        <w:pStyle w:val="Heading1"/>
        <w:rPr>
          <w:rFonts w:ascii="Arial" w:eastAsia="Times New Roman" w:hAnsi="Arial"/>
          <w:color w:val="000000"/>
          <w:shd w:val="clear" w:color="auto" w:fill="FFFFFF"/>
        </w:rPr>
      </w:pPr>
      <w:r>
        <w:rPr>
          <w:rFonts w:ascii="Arial" w:eastAsia="Times New Roman" w:hAnsi="Arial"/>
          <w:color w:val="000000"/>
          <w:shd w:val="clear" w:color="auto" w:fill="FFFFFF"/>
        </w:rPr>
        <w:t>As generally depic</w:t>
      </w:r>
      <w:r>
        <w:rPr>
          <w:rFonts w:ascii="Arial" w:eastAsia="Times New Roman" w:hAnsi="Arial"/>
          <w:color w:val="000000"/>
          <w:shd w:val="clear" w:color="auto" w:fill="FFFFFF"/>
        </w:rPr>
        <w:t xml:space="preserve">ted on Plat Sheet 21, in Phase 1 an approximately 5.2 acre, </w:t>
      </w:r>
      <w:r>
        <w:rPr>
          <w:rFonts w:ascii="Arial" w:eastAsia="Times New Roman" w:hAnsi="Arial"/>
          <w:color w:val="000000"/>
          <w:shd w:val="clear" w:color="auto" w:fill="FFFFFF"/>
        </w:rPr>
        <w:lastRenderedPageBreak/>
        <w:t>private recreational area shall be provided by the applicant at the sole option of the Lorton Valley Homeowners' Association (LVHOA) and made available for use solely by LVHOA residents; if provid</w:t>
      </w:r>
      <w:r>
        <w:rPr>
          <w:rFonts w:ascii="Arial" w:eastAsia="Times New Roman" w:hAnsi="Arial"/>
          <w:color w:val="000000"/>
          <w:shd w:val="clear" w:color="auto" w:fill="FFFFFF"/>
        </w:rPr>
        <w:t xml:space="preserve">ed, said private recreational area and land area shall be conveyed in fee simple to LVHOA. In the event LVHOA chooses not to accept said private recreational area, then the recreational area shall not be constructed and this land shall </w:t>
      </w:r>
      <w:r>
        <w:rPr>
          <w:rFonts w:ascii="Arial" w:eastAsia="Times New Roman" w:hAnsi="Arial"/>
          <w:color w:val="000000"/>
          <w:spacing w:val="1"/>
          <w:shd w:val="clear" w:color="auto" w:fill="FFFFFF"/>
        </w:rPr>
        <w:t>not be conveyed, and</w:t>
      </w:r>
      <w:r>
        <w:rPr>
          <w:rFonts w:ascii="Arial" w:eastAsia="Times New Roman" w:hAnsi="Arial"/>
          <w:color w:val="000000"/>
          <w:spacing w:val="1"/>
          <w:shd w:val="clear" w:color="auto" w:fill="FFFFFF"/>
        </w:rPr>
        <w:t xml:space="preserve"> shall remain in undisturbed open space. Within the conveyance area, a fifty foot-wide treed buffer shall be provided along the entire northern property boundary and consist of a combination of existing, mature trees and supplemental plantings which shall </w:t>
      </w:r>
      <w:r>
        <w:rPr>
          <w:rFonts w:ascii="Arial" w:eastAsia="Times New Roman" w:hAnsi="Arial"/>
          <w:color w:val="000000"/>
          <w:spacing w:val="1"/>
          <w:shd w:val="clear" w:color="auto" w:fill="FFFFFF"/>
        </w:rPr>
        <w:t xml:space="preserve">be installed by the applicant; this buffer area shall be subjected to a conservation easement prior to conveyance of the recreation area to LVHOA. Grading shall be permitted within this buffer area, as determined by the Urban Forestry Management Division, </w:t>
      </w:r>
      <w:r>
        <w:rPr>
          <w:rFonts w:ascii="Arial" w:eastAsia="Times New Roman" w:hAnsi="Arial"/>
          <w:color w:val="000000"/>
          <w:spacing w:val="1"/>
          <w:shd w:val="clear" w:color="auto" w:fill="FFFFFF"/>
        </w:rPr>
        <w:t xml:space="preserve">as necessary for installation of the adjacent natural surface trail and/or other improvements identified immediately below. Adjacent to this buffer area, a natural trail and any off-site trail connection, exercise stations along the trail, a multi-purpose </w:t>
      </w:r>
      <w:r>
        <w:rPr>
          <w:rFonts w:ascii="Arial" w:eastAsia="Times New Roman" w:hAnsi="Arial"/>
          <w:color w:val="000000"/>
          <w:spacing w:val="1"/>
          <w:shd w:val="clear" w:color="auto" w:fill="FFFFFF"/>
        </w:rPr>
        <w:t>open space area, a dog park, and/or picnic tables shall be provided by the applicant at the sole option of and if agreed to by the LVHOA at any time prior to installation of the third Initial Turbine.</w:t>
      </w:r>
    </w:p>
    <w:p w:rsidR="00A352D7" w:rsidRDefault="00311A28">
      <w:pPr>
        <w:pStyle w:val="Heading1"/>
        <w:rPr>
          <w:rFonts w:ascii="Arial" w:eastAsia="Times New Roman" w:hAnsi="Arial"/>
          <w:color w:val="000000"/>
          <w:shd w:val="clear" w:color="auto" w:fill="FFFFFF"/>
        </w:rPr>
      </w:pPr>
      <w:r>
        <w:rPr>
          <w:rFonts w:ascii="Arial" w:eastAsia="Times New Roman" w:hAnsi="Arial"/>
          <w:color w:val="000000"/>
          <w:shd w:val="clear" w:color="auto" w:fill="FFFFFF"/>
        </w:rPr>
        <w:t>As generally depicted on Sheets 10 and 14 of the SEA Pl</w:t>
      </w:r>
      <w:r>
        <w:rPr>
          <w:rFonts w:ascii="Arial" w:eastAsia="Times New Roman" w:hAnsi="Arial"/>
          <w:color w:val="000000"/>
          <w:shd w:val="clear" w:color="auto" w:fill="FFFFFF"/>
        </w:rPr>
        <w:t>at, a private outdoor baseball hitting range/cages may be provided during Phase 5 after DEQ Release.  Any outdoor lighting of such use shall be subject to approval by DPWES of a photometric study of proposed lighting.</w:t>
      </w:r>
    </w:p>
    <w:p w:rsidR="00A352D7" w:rsidRDefault="00311A28">
      <w:pPr>
        <w:pStyle w:val="Heading1"/>
        <w:rPr>
          <w:rFonts w:eastAsia="Times New Roman"/>
          <w:color w:val="000000"/>
          <w:shd w:val="clear" w:color="auto" w:fill="FFFFFF"/>
        </w:rPr>
      </w:pPr>
      <w:r>
        <w:rPr>
          <w:rFonts w:ascii="Arial" w:eastAsia="Times New Roman" w:hAnsi="Arial"/>
          <w:color w:val="000000"/>
          <w:shd w:val="clear" w:color="auto" w:fill="FFFFFF"/>
        </w:rPr>
        <w:t>As generally depicted on Sheet 45 of t</w:t>
      </w:r>
      <w:r>
        <w:rPr>
          <w:rFonts w:ascii="Arial" w:eastAsia="Times New Roman" w:hAnsi="Arial"/>
          <w:color w:val="000000"/>
          <w:shd w:val="clear" w:color="auto" w:fill="FFFFFF"/>
        </w:rPr>
        <w:t xml:space="preserve">he SEA Plat and as approved by DPWES on separate site plan submission(s), privately owned active recreation uses consisting of a private baseball hitting range, a private golf driving range and/or a radio controlled aircraft field, or similar private club </w:t>
      </w:r>
      <w:r>
        <w:rPr>
          <w:rFonts w:ascii="Arial" w:eastAsia="Times New Roman" w:hAnsi="Arial"/>
          <w:color w:val="000000"/>
          <w:shd w:val="clear" w:color="auto" w:fill="FFFFFF"/>
        </w:rPr>
        <w:t>or benefit association uses, may be provided by applicant or lessee during Phase 6 of development either: (a) subsequent to cessation of the potential 12 wind turbines and/or solar panels on the 40-acre platform or a portion thereof, or (b) upon DEQ Releas</w:t>
      </w:r>
      <w:r>
        <w:rPr>
          <w:rFonts w:ascii="Arial" w:eastAsia="Times New Roman" w:hAnsi="Arial"/>
          <w:color w:val="000000"/>
          <w:shd w:val="clear" w:color="auto" w:fill="FFFFFF"/>
        </w:rPr>
        <w:t>e.  Any outdoor lighting for the respective use shall be subject to approval by DPWES of a photometric study of proposed lighting.</w:t>
      </w:r>
    </w:p>
    <w:p w:rsidR="00A352D7" w:rsidRDefault="00311A28">
      <w:pPr>
        <w:pStyle w:val="Heading1"/>
        <w:rPr>
          <w:rFonts w:eastAsia="Times New Roman"/>
          <w:color w:val="000000"/>
          <w:shd w:val="clear" w:color="auto" w:fill="FFFFFF"/>
        </w:rPr>
      </w:pPr>
      <w:r>
        <w:rPr>
          <w:rFonts w:ascii="Arial" w:eastAsia="Times New Roman" w:hAnsi="Arial"/>
          <w:color w:val="000000"/>
          <w:spacing w:val="1"/>
          <w:shd w:val="clear" w:color="auto" w:fill="FFFFFF"/>
        </w:rPr>
        <w:t>If requested, the applicant shall assist with site preparation for a two to three acre area designated in Apple Orchard Recre</w:t>
      </w:r>
      <w:r>
        <w:rPr>
          <w:rFonts w:ascii="Arial" w:eastAsia="Times New Roman" w:hAnsi="Arial"/>
          <w:color w:val="000000"/>
          <w:spacing w:val="1"/>
          <w:shd w:val="clear" w:color="auto" w:fill="FFFFFF"/>
        </w:rPr>
        <w:t>ation Area or in the vicinity of Laurel Hill Park, for community garden use. Site preparation shall be limited solely to clearing and grading no more than 3 acres of land to be used for such garden. The applicant shall not be responsible for any additional</w:t>
      </w:r>
      <w:r>
        <w:rPr>
          <w:rFonts w:ascii="Arial" w:eastAsia="Times New Roman" w:hAnsi="Arial"/>
          <w:color w:val="000000"/>
          <w:spacing w:val="1"/>
          <w:shd w:val="clear" w:color="auto" w:fill="FFFFFF"/>
        </w:rPr>
        <w:t xml:space="preserve"> support (except as specifically provided below), including any road improvements or impervious surface improvements, construction of any structure or any other site improvements. In collaboration with the entity managing said community garden, the applica</w:t>
      </w:r>
      <w:r>
        <w:rPr>
          <w:rFonts w:ascii="Arial" w:eastAsia="Times New Roman" w:hAnsi="Arial"/>
          <w:color w:val="000000"/>
          <w:spacing w:val="1"/>
          <w:shd w:val="clear" w:color="auto" w:fill="FFFFFF"/>
        </w:rPr>
        <w:t>nt shall provide for use at the community garden throughout the landfill's operating life, from its recycling operation, reasonable amounts of recovered soils, crushed stone, mulch and other recovered materials to support garden activities. The applicant s</w:t>
      </w:r>
      <w:r>
        <w:rPr>
          <w:rFonts w:ascii="Arial" w:eastAsia="Times New Roman" w:hAnsi="Arial"/>
          <w:color w:val="000000"/>
          <w:spacing w:val="1"/>
          <w:shd w:val="clear" w:color="auto" w:fill="FFFFFF"/>
        </w:rPr>
        <w:t xml:space="preserve">hall make a onetime contribution of $50,000 to </w:t>
      </w:r>
      <w:r>
        <w:rPr>
          <w:rFonts w:ascii="Arial" w:eastAsia="Times New Roman" w:hAnsi="Arial"/>
          <w:color w:val="000000"/>
          <w:spacing w:val="1"/>
          <w:shd w:val="clear" w:color="auto" w:fill="FFFFFF"/>
        </w:rPr>
        <w:lastRenderedPageBreak/>
        <w:t>the entity managing the garden operation for the materials and fees related to creation of the garden if and when all County approvals have been secured by such entity to construct and operate the garden. As m</w:t>
      </w:r>
      <w:r>
        <w:rPr>
          <w:rFonts w:ascii="Arial" w:eastAsia="Times New Roman" w:hAnsi="Arial"/>
          <w:color w:val="000000"/>
          <w:spacing w:val="1"/>
          <w:shd w:val="clear" w:color="auto" w:fill="FFFFFF"/>
        </w:rPr>
        <w:t>ay be requested by such entity, the applicant shall provide soil testing on a one time basis for quality, composition, and drainage provided such testing occurs in conjunction with any testing the applicant carries out as part of its landfill site plan app</w:t>
      </w:r>
      <w:r>
        <w:rPr>
          <w:rFonts w:ascii="Arial" w:eastAsia="Times New Roman" w:hAnsi="Arial"/>
          <w:color w:val="000000"/>
          <w:spacing w:val="1"/>
          <w:shd w:val="clear" w:color="auto" w:fill="FFFFFF"/>
        </w:rPr>
        <w:t>roval process. This development condition shall be null and void and the applicant shall not be bound to provide such support if the garden is relocated outside of Apple Orchard Park or is not established prior to January 1, 2019.</w:t>
      </w:r>
    </w:p>
    <w:p w:rsidR="00A352D7" w:rsidRDefault="00311A28">
      <w:pPr>
        <w:pStyle w:val="Heading1"/>
        <w:rPr>
          <w:rFonts w:ascii="Arial" w:eastAsia="Times New Roman" w:hAnsi="Arial"/>
          <w:color w:val="000000"/>
          <w:shd w:val="clear" w:color="auto" w:fill="FFFFFF"/>
        </w:rPr>
      </w:pPr>
      <w:r>
        <w:rPr>
          <w:rFonts w:ascii="Arial" w:eastAsia="Times New Roman" w:hAnsi="Arial"/>
          <w:color w:val="000000"/>
          <w:shd w:val="clear" w:color="auto" w:fill="FFFFFF"/>
        </w:rPr>
        <w:t>The "limits of operations</w:t>
      </w:r>
      <w:r>
        <w:rPr>
          <w:rFonts w:ascii="Arial" w:eastAsia="Times New Roman" w:hAnsi="Arial"/>
          <w:color w:val="000000"/>
          <w:shd w:val="clear" w:color="auto" w:fill="FFFFFF"/>
        </w:rPr>
        <w:t>" on the SEA Plat shall be defined as those areas that comprise, or support, the landfilling operations and/or the GEP amenities, including but not limited to the working face of the landfill; the vegetative berm and its environs; areas that are being fill</w:t>
      </w:r>
      <w:r>
        <w:rPr>
          <w:rFonts w:ascii="Arial" w:eastAsia="Times New Roman" w:hAnsi="Arial"/>
          <w:color w:val="000000"/>
          <w:shd w:val="clear" w:color="auto" w:fill="FFFFFF"/>
        </w:rPr>
        <w:t>ed and or capped and landscaped; storm water and erosion and sediment control facilities; stormwater conveyance systems (i.e. including slope down-chutes and storm sewer systems); leachate management systems; gas collection and distribution systems; enviro</w:t>
      </w:r>
      <w:r>
        <w:rPr>
          <w:rFonts w:ascii="Arial" w:eastAsia="Times New Roman" w:hAnsi="Arial"/>
          <w:color w:val="000000"/>
          <w:shd w:val="clear" w:color="auto" w:fill="FFFFFF"/>
        </w:rPr>
        <w:t>nmental monitoring wells/systems; landfill maintenance facilities; landfill access roads, scale houses, and wash racks; landfill staging areas and similar type areas and facilities.</w:t>
      </w:r>
    </w:p>
    <w:p w:rsidR="00A352D7" w:rsidRDefault="00311A28">
      <w:pPr>
        <w:widowControl/>
        <w:shd w:val="clear" w:color="auto" w:fill="auto"/>
        <w:tabs>
          <w:tab w:val="left" w:pos="-1080"/>
          <w:tab w:val="left" w:pos="-720"/>
          <w:tab w:val="left" w:pos="720"/>
          <w:tab w:val="left" w:pos="1080"/>
        </w:tabs>
        <w:jc w:val="both"/>
        <w:rPr>
          <w:rFonts w:ascii="Arial" w:eastAsia="Times New Roman" w:hAnsi="Arial"/>
          <w:color w:val="000000"/>
          <w:shd w:val="clear" w:color="auto" w:fill="FFFFFF"/>
        </w:rPr>
      </w:pPr>
      <w:r>
        <w:rPr>
          <w:rFonts w:ascii="Arial" w:eastAsia="Times New Roman" w:hAnsi="Arial"/>
          <w:color w:val="000000"/>
          <w:shd w:val="clear" w:color="auto" w:fill="FFFFFF"/>
        </w:rPr>
        <w:t>The above proposed conditions are staff recommendations and do not reflect</w:t>
      </w:r>
      <w:r>
        <w:rPr>
          <w:rFonts w:ascii="Arial" w:eastAsia="Times New Roman" w:hAnsi="Arial"/>
          <w:color w:val="000000"/>
          <w:shd w:val="clear" w:color="auto" w:fill="FFFFFF"/>
        </w:rPr>
        <w:t xml:space="preserve"> the position of the Board of Supervisors (Board) unless and until adopted by that Board.</w:t>
      </w:r>
    </w:p>
    <w:p w:rsidR="00A352D7" w:rsidRDefault="00A352D7">
      <w:pPr>
        <w:widowControl/>
        <w:shd w:val="clear" w:color="auto" w:fill="auto"/>
        <w:tabs>
          <w:tab w:val="left" w:pos="-1080"/>
          <w:tab w:val="left" w:pos="-720"/>
          <w:tab w:val="left" w:pos="720"/>
          <w:tab w:val="left" w:pos="1080"/>
        </w:tabs>
        <w:ind w:left="360" w:firstLine="540"/>
        <w:jc w:val="both"/>
        <w:rPr>
          <w:rFonts w:ascii="Arial" w:eastAsia="Times New Roman" w:hAnsi="Arial"/>
          <w:color w:val="000000"/>
          <w:shd w:val="clear" w:color="auto" w:fill="FFFFFF"/>
        </w:rPr>
      </w:pPr>
    </w:p>
    <w:p w:rsidR="00A352D7" w:rsidRDefault="00311A28">
      <w:pPr>
        <w:widowControl/>
        <w:shd w:val="clear" w:color="auto" w:fill="auto"/>
        <w:tabs>
          <w:tab w:val="left" w:pos="-1080"/>
          <w:tab w:val="left" w:pos="-720"/>
          <w:tab w:val="left" w:pos="720"/>
          <w:tab w:val="left" w:pos="1080"/>
        </w:tabs>
        <w:jc w:val="both"/>
        <w:rPr>
          <w:rFonts w:ascii="Arial" w:eastAsia="Times New Roman" w:hAnsi="Arial"/>
          <w:color w:val="000000"/>
          <w:shd w:val="clear" w:color="auto" w:fill="FFFFFF"/>
        </w:rPr>
      </w:pPr>
      <w:r>
        <w:rPr>
          <w:rFonts w:ascii="Arial" w:eastAsia="Times New Roman" w:hAnsi="Arial"/>
          <w:color w:val="000000"/>
          <w:shd w:val="clear" w:color="auto" w:fill="FFFFFF"/>
        </w:rPr>
        <w:t>This approval, contingent on the above noted conditions, shall not relieve the applicant from compliance with the provisions of any applicable ordinances, regulation</w:t>
      </w:r>
      <w:r>
        <w:rPr>
          <w:rFonts w:ascii="Arial" w:eastAsia="Times New Roman" w:hAnsi="Arial"/>
          <w:color w:val="000000"/>
          <w:shd w:val="clear" w:color="auto" w:fill="FFFFFF"/>
        </w:rPr>
        <w:t>s, or adopted standards.  The applicant shall be himself responsible for obtaining the required Non-Residential Use Permit through established procedures, and this Special Exception shall not be valid until this has been accomplished.</w:t>
      </w:r>
    </w:p>
    <w:p w:rsidR="00A352D7" w:rsidRDefault="00A352D7">
      <w:pPr>
        <w:widowControl/>
        <w:shd w:val="clear" w:color="auto" w:fill="auto"/>
        <w:tabs>
          <w:tab w:val="left" w:pos="-1080"/>
          <w:tab w:val="left" w:pos="-720"/>
          <w:tab w:val="left" w:pos="720"/>
          <w:tab w:val="left" w:pos="1080"/>
        </w:tabs>
        <w:ind w:left="360" w:firstLine="540"/>
        <w:jc w:val="both"/>
        <w:rPr>
          <w:rFonts w:ascii="Arial" w:eastAsia="Times New Roman" w:hAnsi="Arial"/>
          <w:color w:val="000000"/>
          <w:shd w:val="clear" w:color="auto" w:fill="FFFFFF"/>
        </w:rPr>
      </w:pPr>
    </w:p>
    <w:p w:rsidR="00A352D7" w:rsidRDefault="00311A28">
      <w:pPr>
        <w:pStyle w:val="BodyTextIndent2"/>
        <w:shd w:val="clear" w:color="auto" w:fill="auto"/>
        <w:tabs>
          <w:tab w:val="left" w:pos="-720"/>
          <w:tab w:val="left" w:pos="720"/>
          <w:tab w:val="left" w:pos="1080"/>
        </w:tabs>
        <w:spacing w:line="240" w:lineRule="auto"/>
        <w:ind w:left="0"/>
        <w:jc w:val="both"/>
        <w:rPr>
          <w:rFonts w:ascii="Arial" w:eastAsia="Times New Roman" w:hAnsi="Arial"/>
          <w:color w:val="000000"/>
          <w:shd w:val="clear" w:color="auto" w:fill="FFFFFF"/>
        </w:rPr>
      </w:pPr>
      <w:r>
        <w:rPr>
          <w:rFonts w:ascii="Arial" w:eastAsia="Times New Roman" w:hAnsi="Arial"/>
          <w:color w:val="000000"/>
          <w:shd w:val="clear" w:color="auto" w:fill="FFFFFF"/>
        </w:rPr>
        <w:t xml:space="preserve">Pursuant to Section </w:t>
      </w:r>
      <w:r>
        <w:rPr>
          <w:rFonts w:ascii="Arial" w:eastAsia="Times New Roman" w:hAnsi="Arial"/>
          <w:color w:val="000000"/>
          <w:shd w:val="clear" w:color="auto" w:fill="FFFFFF"/>
        </w:rPr>
        <w:t>9-015 of the Zoning Ordinance, this special exception shall automatically expire, without notice, forty-eight (48) months after the date of approval unless the use has been established or construction has commenced and been diligently prosecuted.</w:t>
      </w:r>
      <w:r>
        <w:rPr>
          <w:rFonts w:ascii="Arial" w:eastAsia="Times New Roman" w:hAnsi="Arial"/>
          <w:color w:val="000000"/>
          <w:sz w:val="28"/>
          <w:shd w:val="clear" w:color="auto" w:fill="FFFFFF"/>
        </w:rPr>
        <w:t xml:space="preserve"> </w:t>
      </w:r>
      <w:r>
        <w:rPr>
          <w:rFonts w:ascii="Arial" w:eastAsia="Times New Roman" w:hAnsi="Arial"/>
          <w:color w:val="000000"/>
          <w:shd w:val="clear" w:color="auto" w:fill="FFFFFF"/>
        </w:rPr>
        <w:t xml:space="preserve"> The Board of Supervisors may grant additional time to establish the use or to commence construction if a written request for additional time is filed with the Zoning Administrator prior to the date of expiration of the special exception.  The request must</w:t>
      </w:r>
      <w:r>
        <w:rPr>
          <w:rFonts w:ascii="Arial" w:eastAsia="Times New Roman" w:hAnsi="Arial"/>
          <w:color w:val="000000"/>
          <w:shd w:val="clear" w:color="auto" w:fill="FFFFFF"/>
        </w:rPr>
        <w:t xml:space="preserve"> specify the amount of additional time requested, the basis for the amount of time requested and an explanation of why additional time is required.</w:t>
      </w:r>
    </w:p>
    <w:p w:rsidR="00A352D7" w:rsidRDefault="00A352D7">
      <w:pPr>
        <w:shd w:val="clear" w:color="auto" w:fill="auto"/>
        <w:jc w:val="both"/>
        <w:rPr>
          <w:rFonts w:eastAsia="Times New Roman"/>
          <w:b/>
          <w:highlight w:val="yellow"/>
          <w:shd w:val="clear" w:color="auto" w:fill="FFFFFF"/>
        </w:rPr>
      </w:pPr>
    </w:p>
    <w:p w:rsidR="00A352D7" w:rsidRDefault="00311A28">
      <w:pPr>
        <w:pStyle w:val="Heading1"/>
        <w:widowControl/>
        <w:numPr>
          <w:ilvl w:val="0"/>
          <w:numId w:val="0"/>
        </w:numPr>
        <w:shd w:val="clear" w:color="auto" w:fill="auto"/>
        <w:autoSpaceDE/>
        <w:autoSpaceDN/>
        <w:adjustRightInd/>
        <w:rPr>
          <w:rFonts w:eastAsia="Times New Roman"/>
          <w:b/>
          <w:color w:val="000000"/>
          <w:sz w:val="28"/>
          <w:shd w:val="clear" w:color="auto" w:fill="FFFFFF"/>
        </w:rPr>
      </w:pPr>
      <w:r>
        <w:rPr>
          <w:noProof/>
        </w:rPr>
        <mc:AlternateContent>
          <mc:Choice Requires="wps">
            <w:drawing>
              <wp:anchor distT="0" distB="0" distL="114300" distR="114300" simplePos="0" relativeHeight="251658240" behindDoc="0" locked="0" layoutInCell="0" allowOverlap="1">
                <wp:simplePos x="0" y="0"/>
                <wp:positionH relativeFrom="column">
                  <wp:posOffset>88900</wp:posOffset>
                </wp:positionH>
                <wp:positionV relativeFrom="page">
                  <wp:posOffset>9601200</wp:posOffset>
                </wp:positionV>
                <wp:extent cx="594360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2D7" w:rsidRDefault="00311A28">
                            <w:pPr>
                              <w:shd w:val="clear" w:color="auto" w:fill="auto"/>
                              <w:rPr>
                                <w:rFonts w:eastAsia="Times New Roman"/>
                                <w:sz w:val="16"/>
                                <w:shd w:val="clear" w:color="auto" w:fill="FFFFFF"/>
                              </w:rPr>
                            </w:pPr>
                            <w:r>
                              <w:rPr>
                                <w:rFonts w:eastAsia="Times New Roman"/>
                                <w:noProof/>
                                <w:sz w:val="16"/>
                                <w:shd w:val="clear" w:color="auto" w:fill="FFFFFF"/>
                              </w:rPr>
                              <w:t>65145.000008 EMF_US 47343828v22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756pt;width:46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" o:allowincell="f" filled="f" stroked="f">
                <v:textbox inset="0,0,0,0">
                  <w:txbxContent>
                    <w:p w:rsidR="00A352D7" w:rsidRDefault="00311A28">
                      <w:pPr>
                        <w:shd w:val="clear" w:color="auto" w:fill="auto"/>
                        <w:rPr>
                          <w:rFonts w:eastAsia="Times New Roman"/>
                          <w:sz w:val="16"/>
                          <w:shd w:val="clear" w:color="auto" w:fill="FFFFFF"/>
                        </w:rPr>
                      </w:pPr>
                      <w:r>
                        <w:rPr>
                          <w:rFonts w:eastAsia="Times New Roman"/>
                          <w:noProof/>
                          <w:sz w:val="16"/>
                          <w:shd w:val="clear" w:color="auto" w:fill="FFFFFF"/>
                        </w:rPr>
                        <w:t>65145.000008 EMF_US 47343828v22</w:t>
                      </w:r>
                    </w:p>
                  </w:txbxContent>
                </v:textbox>
                <w10:wrap anchory="page"/>
              </v:shape>
            </w:pict>
          </mc:Fallback>
        </mc:AlternateContent>
      </w:r>
    </w:p>
    <w:p w:rsidR="00A352D7" w:rsidRDefault="00A352D7">
      <w:pPr>
        <w:pStyle w:val="Heading1"/>
        <w:widowControl/>
        <w:numPr>
          <w:ilvl w:val="0"/>
          <w:numId w:val="0"/>
        </w:numPr>
        <w:shd w:val="clear" w:color="auto" w:fill="auto"/>
        <w:autoSpaceDE/>
        <w:autoSpaceDN/>
        <w:adjustRightInd/>
        <w:rPr>
          <w:rFonts w:eastAsia="Times New Roman"/>
          <w:b/>
          <w:color w:val="000000"/>
          <w:sz w:val="28"/>
          <w:shd w:val="clear" w:color="auto" w:fill="FFFFFF"/>
        </w:rPr>
      </w:pPr>
    </w:p>
    <w:p w:rsidR="00A352D7" w:rsidRDefault="00A352D7">
      <w:pPr>
        <w:pStyle w:val="Heading1"/>
        <w:widowControl/>
        <w:numPr>
          <w:ilvl w:val="0"/>
          <w:numId w:val="0"/>
        </w:numPr>
        <w:shd w:val="clear" w:color="auto" w:fill="auto"/>
        <w:autoSpaceDE/>
        <w:autoSpaceDN/>
        <w:adjustRightInd/>
        <w:rPr>
          <w:rFonts w:eastAsia="Times New Roman"/>
          <w:b/>
          <w:color w:val="000000"/>
          <w:sz w:val="28"/>
        </w:rPr>
      </w:pPr>
    </w:p>
    <w:sectPr w:rsidR="00A352D7">
      <w:headerReference w:type="default" r:id="rId8"/>
      <w:footerReference w:type="default" r:id="rId9"/>
      <w:footerReference w:type="first" r:id="rId10"/>
      <w:pgSz w:w="12240" w:h="15840"/>
      <w:pgMar w:top="81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28" w:rsidRDefault="00311A28">
      <w:r>
        <w:separator/>
      </w:r>
    </w:p>
  </w:endnote>
  <w:endnote w:type="continuationSeparator" w:id="0">
    <w:p w:rsidR="00311A28" w:rsidRDefault="003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D7" w:rsidRDefault="00A352D7">
    <w:pPr>
      <w:shd w:val="clear" w:color="auto" w:fill="auto"/>
      <w:rPr>
        <w:rFonts w:eastAsia="Times New Roman"/>
      </w:rPr>
    </w:pPr>
  </w:p>
  <w:p w:rsidR="00A352D7" w:rsidRDefault="00A352D7">
    <w:pPr>
      <w:shd w:val="clear" w:color="auto" w:fill="auto"/>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D7" w:rsidRDefault="00A352D7">
    <w:pPr>
      <w:shd w:val="clear" w:color="auto" w:fill="auto"/>
      <w:rPr>
        <w:rFonts w:eastAsia="Times New Roman"/>
      </w:rPr>
    </w:pPr>
  </w:p>
  <w:p w:rsidR="00A352D7" w:rsidRDefault="00A352D7">
    <w:pPr>
      <w:shd w:val="clear" w:color="auto" w:fill="auto"/>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28" w:rsidRDefault="00311A28">
      <w:r>
        <w:separator/>
      </w:r>
    </w:p>
  </w:footnote>
  <w:footnote w:type="continuationSeparator" w:id="0">
    <w:p w:rsidR="00311A28" w:rsidRDefault="0031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D7" w:rsidRDefault="00311A28">
    <w:pPr>
      <w:pStyle w:val="Header"/>
      <w:rPr>
        <w:rFonts w:ascii="Arial" w:eastAsia="Times New Roman" w:hAnsi="Arial"/>
        <w:shd w:val="clear" w:color="auto" w:fill="FFFFFF"/>
      </w:rPr>
    </w:pPr>
    <w:r>
      <w:rPr>
        <w:rFonts w:ascii="Arial" w:eastAsia="Times New Roman" w:hAnsi="Arial"/>
        <w:shd w:val="clear" w:color="auto" w:fill="FFFFFF"/>
      </w:rPr>
      <w:t>SEA 80-L/V-061-02</w:t>
    </w:r>
    <w:r>
      <w:rPr>
        <w:rFonts w:ascii="Arial" w:eastAsia="Times New Roman" w:hAnsi="Arial"/>
        <w:shd w:val="clear" w:color="auto" w:fill="FFFFFF"/>
      </w:rPr>
      <w:tab/>
    </w:r>
    <w:r>
      <w:rPr>
        <w:rFonts w:ascii="Arial" w:eastAsia="Times New Roman" w:hAnsi="Arial"/>
        <w:shd w:val="clear" w:color="auto" w:fill="FFFFFF"/>
      </w:rPr>
      <w:tab/>
      <w:t xml:space="preserve">Page </w:t>
    </w:r>
    <w:r>
      <w:rPr>
        <w:rFonts w:ascii="Arial" w:eastAsia="Times New Roman" w:hAnsi="Arial"/>
        <w:shd w:val="clear" w:color="auto" w:fill="FFFFFF"/>
      </w:rPr>
      <w:fldChar w:fldCharType="begin"/>
    </w:r>
    <w:r>
      <w:rPr>
        <w:rFonts w:ascii="Arial" w:eastAsia="Times New Roman" w:hAnsi="Arial"/>
        <w:shd w:val="clear" w:color="auto" w:fill="FFFFFF"/>
      </w:rPr>
      <w:instrText>PAGE  \* MERGEFORMAT</w:instrText>
    </w:r>
    <w:r>
      <w:rPr>
        <w:rFonts w:ascii="Arial" w:eastAsia="Times New Roman" w:hAnsi="Arial"/>
        <w:shd w:val="clear" w:color="auto" w:fill="FFFFFF"/>
      </w:rPr>
      <w:fldChar w:fldCharType="separate"/>
    </w:r>
    <w:r w:rsidR="00A54DE9">
      <w:rPr>
        <w:rFonts w:ascii="Arial" w:eastAsia="Times New Roman" w:hAnsi="Arial"/>
        <w:noProof/>
        <w:shd w:val="clear" w:color="auto" w:fill="FFFFFF"/>
      </w:rPr>
      <w:t>2</w:t>
    </w:r>
    <w:r>
      <w:rPr>
        <w:rFonts w:ascii="Arial" w:eastAsia="Times New Roman" w:hAnsi="Arial"/>
        <w:shd w:val="clear" w:color="auto" w:fill="FFFFFF"/>
      </w:rPr>
      <w:fldChar w:fldCharType="end"/>
    </w:r>
  </w:p>
  <w:p w:rsidR="00A352D7" w:rsidRDefault="00A352D7">
    <w:pPr>
      <w:shd w:val="clear" w:color="auto" w:fill="auto"/>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5AC5B8"/>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D0502A52"/>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74E2687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3CFE6C26"/>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A5843AFC"/>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888C762"/>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7C74E438"/>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1F1E3C44"/>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2E001D52"/>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E70E86A0"/>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00B836AB"/>
    <w:multiLevelType w:val="hybridMultilevel"/>
    <w:tmpl w:val="D44CEB7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
    <w:nsid w:val="038365ED"/>
    <w:multiLevelType w:val="multilevel"/>
    <w:tmpl w:val="0409001F"/>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2">
    <w:nsid w:val="07E9236F"/>
    <w:multiLevelType w:val="multilevel"/>
    <w:tmpl w:val="F39AFAAC"/>
    <w:lvl w:ilvl="0">
      <w:start w:val="1"/>
      <w:numFmt w:val="upperLetter"/>
      <w:lvlText w:val="%1."/>
      <w:lvlJc w:val="left"/>
      <w:pPr>
        <w:tabs>
          <w:tab w:val="left" w:pos="720"/>
        </w:tabs>
        <w:ind w:left="720"/>
      </w:pPr>
      <w:rPr>
        <w:rFonts w:ascii="Arial" w:eastAsia="Times New Roman" w:hAnsi="Arial"/>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13">
    <w:nsid w:val="0ABD364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C985E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296E88"/>
    <w:multiLevelType w:val="hybridMultilevel"/>
    <w:tmpl w:val="63D20F0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6">
    <w:nsid w:val="174144DF"/>
    <w:multiLevelType w:val="multilevel"/>
    <w:tmpl w:val="BFBC010E"/>
    <w:lvl w:ilvl="0">
      <w:start w:val="45"/>
      <w:numFmt w:val="decimal"/>
      <w:lvlText w:val="%1."/>
      <w:lvlJc w:val="left"/>
      <w:pPr>
        <w:tabs>
          <w:tab w:val="left" w:pos="720"/>
        </w:tabs>
        <w:ind w:left="720"/>
      </w:pPr>
      <w:rPr>
        <w:rFonts w:ascii="Times New Roman" w:eastAsia="Times New Roman" w:hAnsi="Times New Roman"/>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17">
    <w:nsid w:val="227F1BAC"/>
    <w:multiLevelType w:val="multilevel"/>
    <w:tmpl w:val="8558FA86"/>
    <w:lvl w:ilvl="0">
      <w:start w:val="49"/>
      <w:numFmt w:val="decimal"/>
      <w:lvlText w:val="%1."/>
      <w:lvlJc w:val="left"/>
      <w:pPr>
        <w:tabs>
          <w:tab w:val="left" w:pos="720"/>
        </w:tabs>
        <w:ind w:left="720"/>
      </w:pPr>
      <w:rPr>
        <w:rFonts w:ascii="Times New Roman" w:eastAsia="Times New Roman" w:hAnsi="Times New Roman"/>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18">
    <w:nsid w:val="2ED135AA"/>
    <w:multiLevelType w:val="hybridMultilevel"/>
    <w:tmpl w:val="09C4070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9">
    <w:nsid w:val="36AE6FB3"/>
    <w:multiLevelType w:val="multilevel"/>
    <w:tmpl w:val="3CBC79F6"/>
    <w:lvl w:ilvl="0">
      <w:start w:val="2"/>
      <w:numFmt w:val="upperLetter"/>
      <w:lvlText w:val="%1."/>
      <w:lvlJc w:val="left"/>
      <w:pPr>
        <w:tabs>
          <w:tab w:val="left" w:pos="1440"/>
        </w:tabs>
        <w:ind w:left="1440"/>
      </w:pPr>
      <w:rPr>
        <w:rFonts w:ascii="Times New Roman" w:eastAsia="Times New Roman" w:hAnsi="Times New Roman"/>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20">
    <w:nsid w:val="37394AF9"/>
    <w:multiLevelType w:val="multilevel"/>
    <w:tmpl w:val="0409001D"/>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21">
    <w:nsid w:val="47BB1CD3"/>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22">
    <w:nsid w:val="4C6C1508"/>
    <w:multiLevelType w:val="hybridMultilevel"/>
    <w:tmpl w:val="75D8560E"/>
    <w:lvl w:ilvl="0" w:tplc="FFFFFFFF">
      <w:start w:val="1"/>
      <w:numFmt w:val="bullet"/>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23">
    <w:nsid w:val="4E9B50F4"/>
    <w:multiLevelType w:val="multilevel"/>
    <w:tmpl w:val="E3804AF8"/>
    <w:lvl w:ilvl="0">
      <w:start w:val="53"/>
      <w:numFmt w:val="decimal"/>
      <w:lvlText w:val="%1."/>
      <w:lvlJc w:val="left"/>
      <w:pPr>
        <w:tabs>
          <w:tab w:val="left" w:pos="720"/>
        </w:tabs>
        <w:ind w:left="720"/>
      </w:pPr>
      <w:rPr>
        <w:rFonts w:ascii="Times New Roman" w:eastAsia="Times New Roman" w:hAnsi="Times New Roman"/>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24">
    <w:nsid w:val="4FA00570"/>
    <w:multiLevelType w:val="hybridMultilevel"/>
    <w:tmpl w:val="B8E83574"/>
    <w:lvl w:ilvl="0" w:tplc="FFFFFFFF">
      <w:start w:val="1"/>
      <w:numFmt w:val="upperLetter"/>
      <w:lvlText w:val="%1."/>
      <w:lvlJc w:val="lef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25">
    <w:nsid w:val="51AB57F6"/>
    <w:multiLevelType w:val="multilevel"/>
    <w:tmpl w:val="547ED478"/>
    <w:lvl w:ilvl="0">
      <w:start w:val="1"/>
      <w:numFmt w:val="decimal"/>
      <w:pStyle w:val="Heading1"/>
      <w:lvlText w:val="%1."/>
      <w:lvlJc w:val="left"/>
      <w:pPr>
        <w:ind w:left="720" w:hanging="720"/>
      </w:pPr>
      <w:rPr>
        <w:rFonts w:ascii="Arial" w:hAnsi="Arial"/>
        <w:b w:val="0"/>
        <w:i w:val="0"/>
        <w:caps w:val="0"/>
        <w:strike w:val="0"/>
        <w:dstrike w:val="0"/>
        <w:color w:val="000000"/>
      </w:rPr>
    </w:lvl>
    <w:lvl w:ilvl="1">
      <w:start w:val="1"/>
      <w:numFmt w:val="bullet"/>
      <w:pStyle w:val="Heading2"/>
      <w:lvlText w:val=""/>
      <w:lvlJc w:val="left"/>
      <w:rPr>
        <w:rFonts w:ascii="Symbol" w:hAnsi="Symbol"/>
        <w:b w:val="0"/>
        <w:i w:val="0"/>
        <w:caps w:val="0"/>
        <w:strike w:val="0"/>
        <w:dstrike w:val="0"/>
        <w:color w:val="000000"/>
      </w:rPr>
    </w:lvl>
    <w:lvl w:ilvl="2">
      <w:start w:val="1"/>
      <w:numFmt w:val="none"/>
      <w:pStyle w:val="Heading3"/>
      <w:suff w:val="nothing"/>
      <w:lvlText w:val=""/>
      <w:lvlJc w:val="left"/>
      <w:rPr>
        <w:rFonts w:ascii="Times New Roman" w:hAnsi="Times New Roman"/>
        <w:b w:val="0"/>
        <w:i w:val="0"/>
        <w:caps w:val="0"/>
        <w:strike w:val="0"/>
        <w:dstrike w:val="0"/>
        <w:color w:val="000000"/>
      </w:rPr>
    </w:lvl>
    <w:lvl w:ilvl="3">
      <w:start w:val="1"/>
      <w:numFmt w:val="none"/>
      <w:pStyle w:val="Heading4"/>
      <w:suff w:val="nothing"/>
      <w:lvlText w:val=""/>
      <w:lvlJc w:val="left"/>
      <w:rPr>
        <w:rFonts w:ascii="Times New Roman" w:hAnsi="Times New Roman"/>
        <w:b w:val="0"/>
        <w:i w:val="0"/>
        <w:caps w:val="0"/>
        <w:strike w:val="0"/>
        <w:dstrike w:val="0"/>
        <w:color w:val="000000"/>
      </w:rPr>
    </w:lvl>
    <w:lvl w:ilvl="4">
      <w:start w:val="1"/>
      <w:numFmt w:val="none"/>
      <w:pStyle w:val="Heading5"/>
      <w:suff w:val="nothing"/>
      <w:lvlText w:val=""/>
      <w:lvlJc w:val="left"/>
      <w:rPr>
        <w:rFonts w:ascii="Times New Roman" w:hAnsi="Times New Roman"/>
        <w:b w:val="0"/>
        <w:i w:val="0"/>
        <w:caps w:val="0"/>
        <w:strike w:val="0"/>
        <w:dstrike w:val="0"/>
        <w:color w:val="000000"/>
      </w:rPr>
    </w:lvl>
    <w:lvl w:ilvl="5">
      <w:start w:val="1"/>
      <w:numFmt w:val="none"/>
      <w:pStyle w:val="Heading6"/>
      <w:suff w:val="nothing"/>
      <w:lvlText w:val=""/>
      <w:lvlJc w:val="left"/>
      <w:rPr>
        <w:rFonts w:ascii="Times New Roman" w:hAnsi="Times New Roman"/>
        <w:b w:val="0"/>
        <w:i w:val="0"/>
        <w:caps w:val="0"/>
        <w:strike w:val="0"/>
        <w:dstrike w:val="0"/>
        <w:color w:val="000000"/>
      </w:rPr>
    </w:lvl>
    <w:lvl w:ilvl="6">
      <w:start w:val="1"/>
      <w:numFmt w:val="none"/>
      <w:pStyle w:val="Heading7"/>
      <w:suff w:val="nothing"/>
      <w:lvlText w:val=""/>
      <w:lvlJc w:val="left"/>
      <w:rPr>
        <w:rFonts w:ascii="Times New Roman" w:hAnsi="Times New Roman"/>
        <w:b w:val="0"/>
        <w:i w:val="0"/>
        <w:caps w:val="0"/>
        <w:strike w:val="0"/>
        <w:dstrike w:val="0"/>
        <w:color w:val="000000"/>
      </w:rPr>
    </w:lvl>
    <w:lvl w:ilvl="7">
      <w:start w:val="1"/>
      <w:numFmt w:val="none"/>
      <w:pStyle w:val="Heading8"/>
      <w:suff w:val="nothing"/>
      <w:lvlText w:val=""/>
      <w:lvlJc w:val="left"/>
      <w:rPr>
        <w:rFonts w:ascii="Times New Roman" w:hAnsi="Times New Roman"/>
        <w:b w:val="0"/>
        <w:i w:val="0"/>
        <w:caps w:val="0"/>
        <w:strike w:val="0"/>
        <w:dstrike w:val="0"/>
        <w:color w:val="000000"/>
      </w:rPr>
    </w:lvl>
    <w:lvl w:ilvl="8">
      <w:start w:val="1"/>
      <w:numFmt w:val="none"/>
      <w:pStyle w:val="Heading9"/>
      <w:suff w:val="nothing"/>
      <w:lvlText w:val=""/>
      <w:lvlJc w:val="left"/>
      <w:rPr>
        <w:rFonts w:ascii="Times New Roman" w:hAnsi="Times New Roman"/>
        <w:b w:val="0"/>
        <w:i w:val="0"/>
        <w:caps w:val="0"/>
        <w:strike w:val="0"/>
        <w:dstrike w:val="0"/>
        <w:color w:val="000000"/>
      </w:rPr>
    </w:lvl>
  </w:abstractNum>
  <w:abstractNum w:abstractNumId="26">
    <w:nsid w:val="54EF2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794727"/>
    <w:multiLevelType w:val="multilevel"/>
    <w:tmpl w:val="3D04376C"/>
    <w:lvl w:ilvl="0">
      <w:start w:val="1"/>
      <w:numFmt w:val="upperLetter"/>
      <w:lvlText w:val="%1."/>
      <w:lvlJc w:val="left"/>
      <w:pPr>
        <w:tabs>
          <w:tab w:val="left" w:pos="720"/>
        </w:tabs>
        <w:ind w:left="720"/>
      </w:pPr>
      <w:rPr>
        <w:rFonts w:ascii="Arial" w:eastAsia="Times New Roman" w:hAnsi="Arial"/>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28">
    <w:nsid w:val="5E7D3287"/>
    <w:multiLevelType w:val="multilevel"/>
    <w:tmpl w:val="CC905D7C"/>
    <w:lvl w:ilvl="0">
      <w:start w:val="3"/>
      <w:numFmt w:val="upperLetter"/>
      <w:lvlText w:val="%1."/>
      <w:lvlJc w:val="left"/>
      <w:pPr>
        <w:tabs>
          <w:tab w:val="left" w:pos="720"/>
        </w:tabs>
        <w:ind w:left="720"/>
      </w:pPr>
      <w:rPr>
        <w:rFonts w:ascii="Arial" w:eastAsia="Times New Roman" w:hAnsi="Arial"/>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29">
    <w:nsid w:val="66E11A97"/>
    <w:multiLevelType w:val="multilevel"/>
    <w:tmpl w:val="0409001D"/>
    <w:styleLink w:val="1ai"/>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30">
    <w:nsid w:val="6FAC64C7"/>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31">
    <w:nsid w:val="7292218F"/>
    <w:multiLevelType w:val="multilevel"/>
    <w:tmpl w:val="FF9E07D8"/>
    <w:lvl w:ilvl="0">
      <w:start w:val="3"/>
      <w:numFmt w:val="upperLetter"/>
      <w:lvlText w:val="%1."/>
      <w:lvlJc w:val="left"/>
      <w:pPr>
        <w:tabs>
          <w:tab w:val="left" w:pos="720"/>
        </w:tabs>
        <w:ind w:left="720"/>
      </w:pPr>
      <w:rPr>
        <w:rFonts w:ascii="Times New Roman" w:eastAsia="Times New Roman" w:hAnsi="Times New Roman"/>
        <w:strike w:val="0"/>
        <w:dstrike w:val="0"/>
        <w:color w:val="000000"/>
        <w:sz w:val="24"/>
      </w:rPr>
    </w:lvl>
    <w:lvl w:ilvl="1">
      <w:numFmt w:val="decimal"/>
      <w:lvlText w:val=""/>
      <w:lvlJc w:val="left"/>
      <w:rPr>
        <w:strike w:val="0"/>
        <w:dstrike w:val="0"/>
      </w:rPr>
    </w:lvl>
    <w:lvl w:ilvl="2">
      <w:numFmt w:val="decimal"/>
      <w:lvlText w:val=""/>
      <w:lvlJc w:val="left"/>
      <w:rPr>
        <w:strike w:val="0"/>
        <w:dstrike w:val="0"/>
      </w:rPr>
    </w:lvl>
    <w:lvl w:ilvl="3">
      <w:numFmt w:val="decimal"/>
      <w:lvlText w:val=""/>
      <w:lvlJc w:val="left"/>
      <w:rPr>
        <w:strike w:val="0"/>
        <w:dstrike w:val="0"/>
      </w:rPr>
    </w:lvl>
    <w:lvl w:ilvl="4">
      <w:numFmt w:val="decimal"/>
      <w:lvlText w:val=""/>
      <w:lvlJc w:val="left"/>
      <w:rPr>
        <w:strike w:val="0"/>
        <w:dstrike w:val="0"/>
      </w:rPr>
    </w:lvl>
    <w:lvl w:ilvl="5">
      <w:numFmt w:val="decimal"/>
      <w:lvlText w:val=""/>
      <w:lvlJc w:val="left"/>
      <w:rPr>
        <w:strike w:val="0"/>
        <w:dstrike w:val="0"/>
      </w:rPr>
    </w:lvl>
    <w:lvl w:ilvl="6">
      <w:numFmt w:val="decimal"/>
      <w:lvlText w:val=""/>
      <w:lvlJc w:val="left"/>
      <w:rPr>
        <w:strike w:val="0"/>
        <w:dstrike w:val="0"/>
      </w:rPr>
    </w:lvl>
    <w:lvl w:ilvl="7">
      <w:numFmt w:val="decimal"/>
      <w:lvlText w:val=""/>
      <w:lvlJc w:val="left"/>
      <w:rPr>
        <w:strike w:val="0"/>
        <w:dstrike w:val="0"/>
      </w:rPr>
    </w:lvl>
    <w:lvl w:ilvl="8">
      <w:numFmt w:val="decimal"/>
      <w:lvlText w:val=""/>
      <w:lvlJc w:val="left"/>
      <w:rPr>
        <w:strike w:val="0"/>
        <w:dstrike w:val="0"/>
      </w:rPr>
    </w:lvl>
  </w:abstractNum>
  <w:abstractNum w:abstractNumId="32">
    <w:nsid w:val="76660580"/>
    <w:multiLevelType w:val="multilevel"/>
    <w:tmpl w:val="04090023"/>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lvlOverride w:ilvl="0">
      <w:lvl w:ilvl="0">
        <w:start w:val="1"/>
        <w:numFmt w:val="decimal"/>
        <w:pStyle w:val="Heading1"/>
        <w:lvlText w:val="%1."/>
        <w:lvlJc w:val="left"/>
        <w:pPr>
          <w:ind w:left="720" w:hanging="720"/>
        </w:pPr>
        <w:rPr>
          <w:rFonts w:ascii="Arial" w:hAnsi="Arial"/>
          <w:b w:val="0"/>
          <w:i w:val="0"/>
          <w:caps w:val="0"/>
          <w:strike w:val="0"/>
          <w:dstrike w:val="0"/>
          <w:color w:val="auto"/>
        </w:rPr>
      </w:lvl>
    </w:lvlOverride>
    <w:lvlOverride w:ilvl="1">
      <w:lvl w:ilvl="1">
        <w:start w:val="1"/>
        <w:numFmt w:val="upperLetter"/>
        <w:pStyle w:val="Heading2"/>
        <w:lvlText w:val="%2."/>
        <w:lvlJc w:val="left"/>
        <w:rPr>
          <w:rFonts w:ascii="Times New Roman" w:hAnsi="Times New Roman"/>
          <w:b w:val="0"/>
          <w:i w:val="0"/>
          <w:caps w:val="0"/>
          <w:strike w:val="0"/>
          <w:dstrike w:val="0"/>
          <w:color w:val="000000"/>
        </w:rPr>
      </w:lvl>
    </w:lvlOverride>
    <w:lvlOverride w:ilvl="2">
      <w:lvl w:ilvl="2">
        <w:start w:val="1"/>
        <w:numFmt w:val="lowerRoman"/>
        <w:pStyle w:val="Heading3"/>
        <w:lvlText w:val="%3."/>
        <w:lvlJc w:val="left"/>
        <w:rPr>
          <w:rFonts w:ascii="Times New Roman" w:hAnsi="Times New Roman"/>
          <w:b w:val="0"/>
          <w:i w:val="0"/>
          <w:caps w:val="0"/>
          <w:strike w:val="0"/>
          <w:dstrike w:val="0"/>
          <w:color w:val="000000"/>
        </w:rPr>
      </w:lvl>
    </w:lvlOverride>
    <w:lvlOverride w:ilvl="3">
      <w:lvl w:ilvl="3">
        <w:start w:val="1"/>
        <w:numFmt w:val="none"/>
        <w:pStyle w:val="Heading4"/>
        <w:suff w:val="nothing"/>
        <w:lvlText w:val=""/>
        <w:lvlJc w:val="left"/>
        <w:rPr>
          <w:rFonts w:ascii="Times New Roman" w:hAnsi="Times New Roman"/>
          <w:b w:val="0"/>
          <w:i w:val="0"/>
          <w:caps w:val="0"/>
          <w:strike w:val="0"/>
          <w:dstrike w:val="0"/>
          <w:color w:val="000000"/>
        </w:rPr>
      </w:lvl>
    </w:lvlOverride>
    <w:lvlOverride w:ilvl="4">
      <w:lvl w:ilvl="4">
        <w:start w:val="1"/>
        <w:numFmt w:val="none"/>
        <w:pStyle w:val="Heading5"/>
        <w:suff w:val="nothing"/>
        <w:lvlText w:val=""/>
        <w:lvlJc w:val="left"/>
        <w:rPr>
          <w:rFonts w:ascii="Times New Roman" w:hAnsi="Times New Roman"/>
          <w:b w:val="0"/>
          <w:i w:val="0"/>
          <w:caps w:val="0"/>
          <w:strike w:val="0"/>
          <w:dstrike w:val="0"/>
          <w:color w:val="000000"/>
        </w:rPr>
      </w:lvl>
    </w:lvlOverride>
    <w:lvlOverride w:ilvl="5">
      <w:lvl w:ilvl="5">
        <w:start w:val="1"/>
        <w:numFmt w:val="none"/>
        <w:pStyle w:val="Heading6"/>
        <w:suff w:val="nothing"/>
        <w:lvlText w:val=""/>
        <w:lvlJc w:val="left"/>
        <w:rPr>
          <w:rFonts w:ascii="Times New Roman" w:hAnsi="Times New Roman"/>
          <w:b w:val="0"/>
          <w:i w:val="0"/>
          <w:caps w:val="0"/>
          <w:strike w:val="0"/>
          <w:dstrike w:val="0"/>
          <w:color w:val="000000"/>
        </w:rPr>
      </w:lvl>
    </w:lvlOverride>
    <w:lvlOverride w:ilvl="6">
      <w:lvl w:ilvl="6">
        <w:start w:val="1"/>
        <w:numFmt w:val="none"/>
        <w:pStyle w:val="Heading7"/>
        <w:suff w:val="nothing"/>
        <w:lvlText w:val=""/>
        <w:lvlJc w:val="left"/>
        <w:rPr>
          <w:rFonts w:ascii="Times New Roman" w:hAnsi="Times New Roman"/>
          <w:b w:val="0"/>
          <w:i w:val="0"/>
          <w:caps w:val="0"/>
          <w:strike w:val="0"/>
          <w:dstrike w:val="0"/>
          <w:color w:val="000000"/>
        </w:rPr>
      </w:lvl>
    </w:lvlOverride>
    <w:lvlOverride w:ilvl="7">
      <w:lvl w:ilvl="7">
        <w:start w:val="1"/>
        <w:numFmt w:val="none"/>
        <w:pStyle w:val="Heading8"/>
        <w:suff w:val="nothing"/>
        <w:lvlText w:val=""/>
        <w:lvlJc w:val="left"/>
        <w:rPr>
          <w:rFonts w:ascii="Times New Roman" w:hAnsi="Times New Roman"/>
          <w:b w:val="0"/>
          <w:i w:val="0"/>
          <w:caps w:val="0"/>
          <w:strike w:val="0"/>
          <w:dstrike w:val="0"/>
          <w:color w:val="000000"/>
        </w:rPr>
      </w:lvl>
    </w:lvlOverride>
    <w:lvlOverride w:ilvl="8">
      <w:lvl w:ilvl="8">
        <w:start w:val="1"/>
        <w:numFmt w:val="none"/>
        <w:pStyle w:val="Heading9"/>
        <w:suff w:val="nothing"/>
        <w:lvlText w:val=""/>
        <w:lvlJc w:val="left"/>
        <w:rPr>
          <w:rFonts w:ascii="Times New Roman" w:hAnsi="Times New Roman"/>
          <w:b w:val="0"/>
          <w:i w:val="0"/>
          <w:caps w:val="0"/>
          <w:strike w:val="0"/>
          <w:dstrike w:val="0"/>
          <w:color w:val="000000"/>
        </w:rPr>
      </w:lvl>
    </w:lvlOverride>
  </w:num>
  <w:num w:numId="23">
    <w:abstractNumId w:val="22"/>
  </w:num>
  <w:num w:numId="24">
    <w:abstractNumId w:val="12"/>
  </w:num>
  <w:num w:numId="25">
    <w:abstractNumId w:val="27"/>
  </w:num>
  <w:num w:numId="26">
    <w:abstractNumId w:val="13"/>
  </w:num>
  <w:num w:numId="27">
    <w:abstractNumId w:val="21"/>
  </w:num>
  <w:num w:numId="28">
    <w:abstractNumId w:val="14"/>
  </w:num>
  <w:num w:numId="29">
    <w:abstractNumId w:val="29"/>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3"/>
  <w:doNotUseMarginsForDrawingGridOrigin/>
  <w:drawingGridHorizontalOrigin w:val="1440"/>
  <w:drawingGridVerticalOrigin w:val="72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P_REDLINE" w:val="CP_REDLINE"/>
    <w:docVar w:name="SWActiveDesign" w:val="Heading"/>
    <w:docVar w:name="SWAllDesigns" w:val="Heading|"/>
    <w:docVar w:name="SWAllLineBreaks" w:val="Heading~~0|0|0|0|0|0|0|0|0|@@"/>
    <w:docVar w:name="SWDocIDLayout" w:val="10000"/>
    <w:docVar w:name="SWDocIDLocation" w:val="3"/>
    <w:docVar w:name="tableMoveFromStyle" w:val="s"/>
    <w:docVar w:name="tableMoveToStyle" w:val="u"/>
    <w:docVar w:name="textDeleteStyle" w:val="s"/>
    <w:docVar w:name="textInsertStyle" w:val="bd"/>
    <w:docVar w:name="textMoveFromStyle" w:val="is"/>
    <w:docVar w:name="textMoveToStyle" w:val="id"/>
  </w:docVars>
  <w:rsids>
    <w:rsidRoot w:val="00A352D7"/>
    <w:rsid w:val="00311A28"/>
    <w:rsid w:val="00A352D7"/>
    <w:rsid w:val="00A5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DA7484B-E513-44B6-8F87-8C9EA160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64" w:unhideWhenUsed="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60"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pPr>
      <w:widowControl w:val="0"/>
      <w:shd w:val="clear" w:color="auto" w:fill="FFFFFF"/>
      <w:autoSpaceDE w:val="0"/>
      <w:autoSpaceDN w:val="0"/>
      <w:adjustRightInd w:val="0"/>
      <w:spacing w:after="0" w:line="240" w:lineRule="auto"/>
    </w:pPr>
    <w:rPr>
      <w:rFonts w:cs="Times New Roman"/>
      <w:sz w:val="24"/>
      <w:szCs w:val="24"/>
    </w:rPr>
  </w:style>
  <w:style w:type="paragraph" w:styleId="Heading1">
    <w:name w:val="heading 1"/>
    <w:basedOn w:val="Normal"/>
    <w:next w:val="Normal"/>
    <w:link w:val="Heading1Char"/>
    <w:uiPriority w:val="9"/>
    <w:qFormat/>
    <w:pPr>
      <w:numPr>
        <w:numId w:val="11"/>
      </w:numPr>
      <w:spacing w:after="240"/>
      <w:jc w:val="both"/>
      <w:outlineLvl w:val="0"/>
    </w:pPr>
  </w:style>
  <w:style w:type="paragraph" w:styleId="Heading2">
    <w:name w:val="heading 2"/>
    <w:basedOn w:val="Normal"/>
    <w:next w:val="Normal"/>
    <w:link w:val="Heading2Char"/>
    <w:uiPriority w:val="9"/>
    <w:qFormat/>
    <w:pPr>
      <w:numPr>
        <w:ilvl w:val="1"/>
        <w:numId w:val="11"/>
      </w:numPr>
      <w:spacing w:after="240"/>
      <w:outlineLvl w:val="1"/>
    </w:pPr>
  </w:style>
  <w:style w:type="paragraph" w:styleId="Heading3">
    <w:name w:val="heading 3"/>
    <w:basedOn w:val="Normal"/>
    <w:next w:val="Normal"/>
    <w:link w:val="Heading3Char"/>
    <w:uiPriority w:val="9"/>
    <w:qFormat/>
    <w:pPr>
      <w:numPr>
        <w:ilvl w:val="2"/>
        <w:numId w:val="11"/>
      </w:numPr>
      <w:spacing w:after="240"/>
      <w:ind w:left="2160" w:hanging="720"/>
      <w:outlineLvl w:val="2"/>
    </w:pPr>
  </w:style>
  <w:style w:type="paragraph" w:styleId="Heading4">
    <w:name w:val="heading 4"/>
    <w:basedOn w:val="Normal"/>
    <w:next w:val="Normal"/>
    <w:link w:val="Heading4Char"/>
    <w:uiPriority w:val="9"/>
    <w:semiHidden/>
    <w:qFormat/>
    <w:pPr>
      <w:numPr>
        <w:ilvl w:val="3"/>
        <w:numId w:val="11"/>
      </w:numPr>
      <w:spacing w:after="240"/>
      <w:outlineLvl w:val="3"/>
    </w:pPr>
  </w:style>
  <w:style w:type="paragraph" w:styleId="Heading5">
    <w:name w:val="heading 5"/>
    <w:basedOn w:val="Normal"/>
    <w:next w:val="Normal"/>
    <w:link w:val="Heading5Char"/>
    <w:uiPriority w:val="9"/>
    <w:semiHidden/>
    <w:qFormat/>
    <w:pPr>
      <w:numPr>
        <w:ilvl w:val="4"/>
        <w:numId w:val="11"/>
      </w:numPr>
      <w:spacing w:after="240"/>
      <w:outlineLvl w:val="4"/>
    </w:pPr>
  </w:style>
  <w:style w:type="paragraph" w:styleId="Heading6">
    <w:name w:val="heading 6"/>
    <w:basedOn w:val="Normal"/>
    <w:next w:val="Normal"/>
    <w:link w:val="Heading6Char"/>
    <w:uiPriority w:val="9"/>
    <w:semiHidden/>
    <w:qFormat/>
    <w:pPr>
      <w:numPr>
        <w:ilvl w:val="5"/>
        <w:numId w:val="11"/>
      </w:numPr>
      <w:spacing w:after="240"/>
      <w:outlineLvl w:val="5"/>
    </w:pPr>
    <w:rPr>
      <w:b/>
      <w:bCs/>
    </w:rPr>
  </w:style>
  <w:style w:type="paragraph" w:styleId="Heading7">
    <w:name w:val="heading 7"/>
    <w:basedOn w:val="Normal"/>
    <w:next w:val="Normal"/>
    <w:link w:val="Heading7Char"/>
    <w:uiPriority w:val="9"/>
    <w:semiHidden/>
    <w:qFormat/>
    <w:pPr>
      <w:numPr>
        <w:ilvl w:val="6"/>
        <w:numId w:val="11"/>
      </w:numPr>
      <w:spacing w:after="240"/>
      <w:outlineLvl w:val="6"/>
    </w:pPr>
  </w:style>
  <w:style w:type="paragraph" w:styleId="Heading8">
    <w:name w:val="heading 8"/>
    <w:basedOn w:val="Normal"/>
    <w:next w:val="Normal"/>
    <w:link w:val="Heading8Char"/>
    <w:uiPriority w:val="9"/>
    <w:semiHidden/>
    <w:qFormat/>
    <w:pPr>
      <w:numPr>
        <w:ilvl w:val="7"/>
        <w:numId w:val="11"/>
      </w:numPr>
      <w:spacing w:after="240"/>
      <w:outlineLvl w:val="7"/>
    </w:pPr>
  </w:style>
  <w:style w:type="paragraph" w:styleId="Heading9">
    <w:name w:val="heading 9"/>
    <w:basedOn w:val="Normal"/>
    <w:next w:val="Normal"/>
    <w:link w:val="Heading9Char"/>
    <w:uiPriority w:val="9"/>
    <w:semiHidden/>
    <w:qFormat/>
    <w:pPr>
      <w:numPr>
        <w:ilvl w:val="8"/>
        <w:numId w:val="1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Times New Roman"/>
      <w:sz w:val="24"/>
      <w:szCs w:val="24"/>
      <w:shd w:val="clear" w:color="auto" w:fill="FFFFFF"/>
    </w:rPr>
  </w:style>
  <w:style w:type="character" w:customStyle="1" w:styleId="Heading2Char">
    <w:name w:val="Heading 2 Char"/>
    <w:basedOn w:val="DefaultParagraphFont"/>
    <w:link w:val="Heading2"/>
    <w:uiPriority w:val="9"/>
    <w:rPr>
      <w:rFonts w:cs="Times New Roman"/>
      <w:sz w:val="24"/>
      <w:szCs w:val="24"/>
      <w:shd w:val="clear" w:color="auto" w:fill="FFFFFF"/>
    </w:rPr>
  </w:style>
  <w:style w:type="character" w:customStyle="1" w:styleId="Heading3Char">
    <w:name w:val="Heading 3 Char"/>
    <w:basedOn w:val="DefaultParagraphFont"/>
    <w:link w:val="Heading3"/>
    <w:uiPriority w:val="9"/>
    <w:rPr>
      <w:rFonts w:cs="Times New Roman"/>
      <w:sz w:val="24"/>
      <w:szCs w:val="24"/>
      <w:shd w:val="clear" w:color="auto" w:fill="FFFFFF"/>
    </w:rPr>
  </w:style>
  <w:style w:type="character" w:customStyle="1" w:styleId="Heading4Char">
    <w:name w:val="Heading 4 Char"/>
    <w:basedOn w:val="DefaultParagraphFont"/>
    <w:link w:val="Heading4"/>
    <w:uiPriority w:val="9"/>
    <w:semiHidden/>
    <w:rPr>
      <w:rFonts w:cs="Times New Roman"/>
      <w:sz w:val="24"/>
      <w:szCs w:val="24"/>
      <w:shd w:val="clear" w:color="auto" w:fill="FFFFFF"/>
    </w:rPr>
  </w:style>
  <w:style w:type="character" w:customStyle="1" w:styleId="Heading5Char">
    <w:name w:val="Heading 5 Char"/>
    <w:basedOn w:val="DefaultParagraphFont"/>
    <w:link w:val="Heading5"/>
    <w:uiPriority w:val="9"/>
    <w:semiHidden/>
    <w:rPr>
      <w:rFonts w:cs="Times New Roman"/>
      <w:sz w:val="24"/>
      <w:szCs w:val="24"/>
      <w:shd w:val="clear" w:color="auto" w:fill="FFFFFF"/>
    </w:rPr>
  </w:style>
  <w:style w:type="character" w:customStyle="1" w:styleId="Heading6Char">
    <w:name w:val="Heading 6 Char"/>
    <w:basedOn w:val="DefaultParagraphFont"/>
    <w:link w:val="Heading6"/>
    <w:uiPriority w:val="9"/>
    <w:semiHidden/>
    <w:rPr>
      <w:rFonts w:cs="Times New Roman"/>
      <w:b/>
      <w:bCs/>
      <w:sz w:val="24"/>
      <w:szCs w:val="24"/>
      <w:shd w:val="clear" w:color="auto" w:fill="FFFFFF"/>
    </w:rPr>
  </w:style>
  <w:style w:type="character" w:customStyle="1" w:styleId="Heading7Char">
    <w:name w:val="Heading 7 Char"/>
    <w:basedOn w:val="DefaultParagraphFont"/>
    <w:link w:val="Heading7"/>
    <w:uiPriority w:val="9"/>
    <w:semiHidden/>
    <w:rPr>
      <w:rFonts w:cs="Times New Roman"/>
      <w:sz w:val="24"/>
      <w:szCs w:val="24"/>
      <w:shd w:val="clear" w:color="auto" w:fill="FFFFFF"/>
    </w:rPr>
  </w:style>
  <w:style w:type="character" w:customStyle="1" w:styleId="Heading8Char">
    <w:name w:val="Heading 8 Char"/>
    <w:basedOn w:val="DefaultParagraphFont"/>
    <w:link w:val="Heading8"/>
    <w:uiPriority w:val="9"/>
    <w:semiHidden/>
    <w:rPr>
      <w:rFonts w:cs="Times New Roman"/>
      <w:sz w:val="24"/>
      <w:szCs w:val="24"/>
      <w:shd w:val="clear" w:color="auto" w:fill="FFFFFF"/>
    </w:rPr>
  </w:style>
  <w:style w:type="character" w:customStyle="1" w:styleId="Heading9Char">
    <w:name w:val="Heading 9 Char"/>
    <w:basedOn w:val="DefaultParagraphFont"/>
    <w:link w:val="Heading9"/>
    <w:uiPriority w:val="9"/>
    <w:semiHidden/>
    <w:rPr>
      <w:rFonts w:cs="Times New Roman"/>
      <w:sz w:val="24"/>
      <w:szCs w:val="24"/>
      <w:shd w:val="clear" w:color="auto" w:fill="FFFFFF"/>
    </w:rPr>
  </w:style>
  <w:style w:type="paragraph" w:styleId="BlockText">
    <w:name w:val="Block Text"/>
    <w:basedOn w:val="Normal"/>
    <w:uiPriority w:val="60"/>
    <w:pPr>
      <w:spacing w:after="240"/>
      <w:ind w:left="720"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spacing w:after="240"/>
      <w:ind w:firstLine="72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99"/>
    <w:qFormat/>
    <w:pPr>
      <w:spacing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49"/>
    <w:pPr>
      <w:spacing w:line="480" w:lineRule="auto"/>
      <w:ind w:left="720"/>
    </w:pPr>
  </w:style>
  <w:style w:type="character" w:customStyle="1" w:styleId="BodyTextIndent2Char">
    <w:name w:val="Body Text Indent 2 Char"/>
    <w:basedOn w:val="DefaultParagraphFont"/>
    <w:link w:val="BodyTextIndent2"/>
    <w:uiPriority w:val="99"/>
  </w:style>
  <w:style w:type="character" w:styleId="BookTitle">
    <w:name w:val="Book Title"/>
    <w:basedOn w:val="DefaultParagraphFont"/>
    <w:uiPriority w:val="99"/>
    <w:semiHidden/>
    <w:rPr>
      <w:b/>
      <w:bCs/>
      <w:i/>
      <w:iCs/>
    </w:rPr>
  </w:style>
  <w:style w:type="character" w:styleId="Emphasis">
    <w:name w:val="Emphasis"/>
    <w:basedOn w:val="DefaultParagraphFont"/>
    <w:uiPriority w:val="99"/>
    <w:semiHidden/>
    <w:rPr>
      <w:b/>
      <w:bCs/>
      <w:i/>
      <w:iCs/>
    </w:rPr>
  </w:style>
  <w:style w:type="paragraph" w:styleId="FootnoteText">
    <w:name w:val="footnote text"/>
    <w:basedOn w:val="Normal"/>
    <w:link w:val="FootnoteTextChar"/>
    <w:uiPriority w:val="99"/>
    <w:semiHidden/>
    <w:pPr>
      <w:ind w:firstLine="720"/>
    </w:pPr>
    <w:rPr>
      <w:sz w:val="20"/>
      <w:szCs w:val="20"/>
    </w:rPr>
  </w:style>
  <w:style w:type="character" w:customStyle="1" w:styleId="FootnoteTextChar">
    <w:name w:val="Footnote Text Char"/>
    <w:basedOn w:val="DefaultParagraphFont"/>
    <w:link w:val="FootnoteText"/>
    <w:uiPriority w:val="9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character" w:customStyle="1" w:styleId="SignatureChar">
    <w:name w:val="Signature Char"/>
    <w:basedOn w:val="DefaultParagraphFont"/>
    <w:link w:val="Signature"/>
    <w:uiPriority w:val="99"/>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paragraph" w:customStyle="1" w:styleId="TitleB">
    <w:name w:val="TitleB"/>
    <w:basedOn w:val="Normal"/>
    <w:uiPriority w:val="9"/>
    <w:qFormat/>
    <w:pPr>
      <w:keepNext/>
      <w:spacing w:after="240"/>
      <w:jc w:val="center"/>
    </w:pPr>
    <w:rPr>
      <w:b/>
      <w:bCs/>
    </w:rPr>
  </w:style>
  <w:style w:type="character" w:styleId="IntenseEmphasis">
    <w:name w:val="Intense Emphasis"/>
    <w:basedOn w:val="DefaultParagraphFont"/>
    <w:uiPriority w:val="99"/>
    <w:semiHidden/>
    <w:rPr>
      <w:b/>
      <w:bCs/>
      <w:i/>
      <w:iCs/>
      <w:u w:val="single"/>
    </w:rPr>
  </w:style>
  <w:style w:type="paragraph" w:styleId="IntenseQuote">
    <w:name w:val="Intense Quote"/>
    <w:basedOn w:val="Normal"/>
    <w:next w:val="Normal"/>
    <w:link w:val="IntenseQuoteChar"/>
    <w:uiPriority w:val="99"/>
    <w:semiHidden/>
    <w:pPr>
      <w:ind w:left="720" w:right="720"/>
    </w:pPr>
    <w:rPr>
      <w:b/>
      <w:bCs/>
      <w:i/>
      <w:iCs/>
    </w:rPr>
  </w:style>
  <w:style w:type="character" w:customStyle="1" w:styleId="IntenseQuoteChar">
    <w:name w:val="Intense Quote Char"/>
    <w:basedOn w:val="DefaultParagraphFont"/>
    <w:link w:val="IntenseQuote"/>
    <w:uiPriority w:val="30"/>
    <w:rPr>
      <w:b/>
      <w:bCs/>
      <w:i/>
      <w:iCs/>
      <w:sz w:val="22"/>
      <w:szCs w:val="22"/>
    </w:rPr>
  </w:style>
  <w:style w:type="character" w:styleId="IntenseReference">
    <w:name w:val="Intense Reference"/>
    <w:basedOn w:val="DefaultParagraphFont"/>
    <w:uiPriority w:val="99"/>
    <w:semiHidden/>
    <w:rPr>
      <w:b/>
      <w:bCs/>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style>
  <w:style w:type="paragraph" w:styleId="Quote">
    <w:name w:val="Quote"/>
    <w:basedOn w:val="Normal"/>
    <w:link w:val="QuoteChar"/>
    <w:uiPriority w:val="9"/>
    <w:qFormat/>
    <w:pPr>
      <w:spacing w:after="240"/>
      <w:ind w:left="1440" w:right="1440"/>
    </w:pPr>
  </w:style>
  <w:style w:type="character" w:customStyle="1" w:styleId="QuoteChar">
    <w:name w:val="Quote Char"/>
    <w:basedOn w:val="DefaultParagraphFont"/>
    <w:link w:val="Quote"/>
    <w:uiPriority w:val="29"/>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b/>
      <w:bCs/>
    </w:rPr>
  </w:style>
  <w:style w:type="character" w:customStyle="1" w:styleId="SubtitleChar">
    <w:name w:val="Subtitle Char"/>
    <w:basedOn w:val="DefaultParagraphFont"/>
    <w:link w:val="Subtitle"/>
    <w:uiPriority w:val="11"/>
    <w:rPr>
      <w:b/>
      <w:bCs/>
    </w:rPr>
  </w:style>
  <w:style w:type="character" w:styleId="SubtleEmphasis">
    <w:name w:val="Subtle Emphasis"/>
    <w:basedOn w:val="DefaultParagraphFont"/>
    <w:uiPriority w:val="99"/>
    <w:semiHidden/>
    <w:rPr>
      <w:i/>
      <w:iCs/>
      <w:color w:val="5A5A5A"/>
    </w:rPr>
  </w:style>
  <w:style w:type="character" w:styleId="SubtleReference">
    <w:name w:val="Subtle Reference"/>
    <w:basedOn w:val="DefaultParagraphFont"/>
    <w:uiPriority w:val="99"/>
    <w:semiHidden/>
    <w:rPr>
      <w:u w:val="single"/>
    </w:rPr>
  </w:style>
  <w:style w:type="paragraph" w:styleId="Title">
    <w:name w:val="Title"/>
    <w:basedOn w:val="Normal"/>
    <w:link w:val="TitleChar"/>
    <w:uiPriority w:val="9"/>
    <w:qFormat/>
    <w:pPr>
      <w:keepNext/>
      <w:spacing w:after="240"/>
      <w:jc w:val="center"/>
    </w:pPr>
  </w:style>
  <w:style w:type="character" w:customStyle="1" w:styleId="TitleChar">
    <w:name w:val="Title Char"/>
    <w:basedOn w:val="DefaultParagraphFont"/>
    <w:link w:val="Title"/>
    <w:uiPriority w:val="10"/>
    <w:rPr>
      <w:sz w:val="32"/>
      <w:szCs w:val="32"/>
    </w:rPr>
  </w:style>
  <w:style w:type="paragraph" w:customStyle="1" w:styleId="TitleBC">
    <w:name w:val="TitleBC"/>
    <w:basedOn w:val="Normal"/>
    <w:uiPriority w:val="9"/>
    <w:qFormat/>
    <w:pPr>
      <w:keepNext/>
      <w:spacing w:after="240"/>
      <w:jc w:val="center"/>
    </w:pPr>
    <w:rPr>
      <w:b/>
      <w:bCs/>
      <w:caps/>
    </w:rPr>
  </w:style>
  <w:style w:type="paragraph" w:customStyle="1" w:styleId="TitleBCU">
    <w:name w:val="TitleBCU"/>
    <w:basedOn w:val="Normal"/>
    <w:uiPriority w:val="9"/>
    <w:qFormat/>
    <w:pPr>
      <w:keepNext/>
      <w:spacing w:after="240"/>
      <w:jc w:val="center"/>
    </w:pPr>
    <w:rPr>
      <w:b/>
      <w:bCs/>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bCs/>
    </w:rPr>
  </w:style>
  <w:style w:type="paragraph" w:styleId="TOCHeading">
    <w:name w:val="TOC Heading"/>
    <w:basedOn w:val="Heading1"/>
    <w:next w:val="Normal"/>
    <w:uiPriority w:val="39"/>
    <w:semiHidden/>
    <w:qFormat/>
    <w:pPr>
      <w:outlineLvl w:val="9"/>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b/>
      <w:bCs/>
      <w:sz w:val="20"/>
      <w:szCs w:val="20"/>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rPr>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rPr>
      <w:sz w:val="20"/>
      <w:szCs w:val="20"/>
    </w:rPr>
  </w:style>
  <w:style w:type="paragraph" w:styleId="EnvelopeAddress">
    <w:name w:val="envelope address"/>
    <w:basedOn w:val="Normal"/>
    <w:uiPriority w:val="99"/>
    <w:semiHidden/>
    <w:pPr>
      <w:ind w:left="2880"/>
    </w:pPr>
  </w:style>
  <w:style w:type="paragraph" w:styleId="EnvelopeReturn">
    <w:name w:val="envelope return"/>
    <w:basedOn w:val="Normal"/>
    <w:uiPriority w:val="99"/>
    <w:semiHidden/>
    <w:rPr>
      <w:sz w:val="20"/>
      <w:szCs w:val="20"/>
    </w:rPr>
  </w:style>
  <w:style w:type="character" w:styleId="FollowedHyperlink">
    <w:name w:val="FollowedHyperlink"/>
    <w:basedOn w:val="DefaultParagraphFont"/>
    <w:uiPriority w:val="99"/>
    <w:semiHidden/>
    <w:rPr>
      <w:color w:val="800080"/>
      <w:u w:val="single"/>
    </w:rPr>
  </w:style>
  <w:style w:type="character" w:styleId="FootnoteReference">
    <w:name w:val="footnote reference"/>
    <w:basedOn w:val="DefaultParagraphFont"/>
    <w:uiPriority w:val="99"/>
    <w:semiHidden/>
    <w:rPr>
      <w:vertAlign w:val="superscript"/>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sz w:val="20"/>
      <w:szCs w:val="20"/>
    </w:rPr>
  </w:style>
  <w:style w:type="character" w:customStyle="1" w:styleId="HTMLPreformattedChar">
    <w:name w:val="HTML Preformatted Char"/>
    <w:basedOn w:val="DefaultParagraphFont"/>
    <w:link w:val="HTMLPreformatted"/>
    <w:uiPriority w:val="99"/>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b/>
      <w:bCs/>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2"/>
      </w:numPr>
    </w:pPr>
  </w:style>
  <w:style w:type="paragraph" w:styleId="ListBullet2">
    <w:name w:val="List Bullet 2"/>
    <w:basedOn w:val="Normal"/>
    <w:uiPriority w:val="99"/>
    <w:semiHidden/>
    <w:pPr>
      <w:numPr>
        <w:numId w:val="13"/>
      </w:numPr>
    </w:pPr>
  </w:style>
  <w:style w:type="paragraph" w:styleId="ListBullet3">
    <w:name w:val="List Bullet 3"/>
    <w:basedOn w:val="Normal"/>
    <w:uiPriority w:val="99"/>
    <w:semiHidden/>
    <w:pPr>
      <w:numPr>
        <w:numId w:val="14"/>
      </w:numPr>
    </w:pPr>
  </w:style>
  <w:style w:type="paragraph" w:styleId="ListBullet4">
    <w:name w:val="List Bullet 4"/>
    <w:basedOn w:val="Normal"/>
    <w:uiPriority w:val="99"/>
    <w:semiHidden/>
    <w:pPr>
      <w:numPr>
        <w:numId w:val="15"/>
      </w:numPr>
    </w:pPr>
  </w:style>
  <w:style w:type="paragraph" w:styleId="ListBullet5">
    <w:name w:val="List Bullet 5"/>
    <w:basedOn w:val="Normal"/>
    <w:uiPriority w:val="99"/>
    <w:semiHidden/>
    <w:pPr>
      <w:numPr>
        <w:numId w:val="16"/>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7"/>
      </w:numPr>
    </w:pPr>
  </w:style>
  <w:style w:type="paragraph" w:styleId="ListNumber2">
    <w:name w:val="List Number 2"/>
    <w:basedOn w:val="Normal"/>
    <w:uiPriority w:val="99"/>
    <w:semiHidden/>
    <w:pPr>
      <w:numPr>
        <w:numId w:val="18"/>
      </w:numPr>
    </w:pPr>
  </w:style>
  <w:style w:type="paragraph" w:styleId="ListNumber3">
    <w:name w:val="List Number 3"/>
    <w:basedOn w:val="Normal"/>
    <w:uiPriority w:val="99"/>
    <w:semiHidden/>
    <w:pPr>
      <w:numPr>
        <w:numId w:val="19"/>
      </w:numPr>
    </w:pPr>
  </w:style>
  <w:style w:type="paragraph" w:styleId="ListNumber4">
    <w:name w:val="List Number 4"/>
    <w:basedOn w:val="Normal"/>
    <w:uiPriority w:val="99"/>
    <w:semiHidden/>
    <w:pPr>
      <w:numPr>
        <w:numId w:val="20"/>
      </w:numPr>
    </w:pPr>
  </w:style>
  <w:style w:type="paragraph" w:styleId="ListNumber5">
    <w:name w:val="List Number 5"/>
    <w:basedOn w:val="Normal"/>
    <w:uiPriority w:val="99"/>
    <w:semiHidden/>
    <w:pPr>
      <w:numPr>
        <w:numId w:val="21"/>
      </w:numPr>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style>
  <w:style w:type="character" w:customStyle="1" w:styleId="MessageHeaderChar">
    <w:name w:val="Message Header Char"/>
    <w:basedOn w:val="DefaultParagraphFont"/>
    <w:link w:val="MessageHeader"/>
    <w:uiPriority w:val="99"/>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rPr>
      <w:rFonts w:ascii="Consolas" w:hAnsi="Consolas" w:cs="Consolas"/>
      <w:sz w:val="21"/>
      <w:szCs w:val="21"/>
    </w:rPr>
  </w:style>
  <w:style w:type="character" w:customStyle="1" w:styleId="PlainTextChar">
    <w:name w:val="Plain Text Char"/>
    <w:basedOn w:val="DefaultParagraphFont"/>
    <w:link w:val="PlainText"/>
    <w:uiPriority w:val="99"/>
    <w:rPr>
      <w:sz w:val="21"/>
      <w:szCs w:val="2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b/>
      <w:bCs/>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40"/>
    </w:pPr>
  </w:style>
  <w:style w:type="paragraph" w:styleId="TOC3">
    <w:name w:val="toc 3"/>
    <w:basedOn w:val="Normal"/>
    <w:next w:val="Normal"/>
    <w:autoRedefine/>
    <w:uiPriority w:val="39"/>
    <w:semiHidden/>
    <w:pPr>
      <w:spacing w:after="100"/>
      <w:ind w:left="480"/>
    </w:pPr>
  </w:style>
  <w:style w:type="paragraph" w:styleId="TOC4">
    <w:name w:val="toc 4"/>
    <w:basedOn w:val="Normal"/>
    <w:next w:val="Normal"/>
    <w:autoRedefine/>
    <w:uiPriority w:val="39"/>
    <w:semiHidden/>
    <w:pPr>
      <w:spacing w:after="100"/>
      <w:ind w:left="720"/>
    </w:pPr>
  </w:style>
  <w:style w:type="paragraph" w:styleId="TOC5">
    <w:name w:val="toc 5"/>
    <w:basedOn w:val="Normal"/>
    <w:next w:val="Normal"/>
    <w:autoRedefine/>
    <w:uiPriority w:val="39"/>
    <w:semiHidden/>
    <w:pPr>
      <w:spacing w:after="100"/>
      <w:ind w:left="960"/>
    </w:pPr>
  </w:style>
  <w:style w:type="paragraph" w:styleId="TOC6">
    <w:name w:val="toc 6"/>
    <w:basedOn w:val="Normal"/>
    <w:next w:val="Normal"/>
    <w:autoRedefine/>
    <w:uiPriority w:val="39"/>
    <w:semiHidden/>
    <w:pPr>
      <w:spacing w:after="100"/>
      <w:ind w:left="1200"/>
    </w:pPr>
  </w:style>
  <w:style w:type="paragraph" w:styleId="TOC7">
    <w:name w:val="toc 7"/>
    <w:basedOn w:val="Normal"/>
    <w:next w:val="Normal"/>
    <w:autoRedefine/>
    <w:uiPriority w:val="39"/>
    <w:semiHidden/>
    <w:pPr>
      <w:spacing w:after="100"/>
      <w:ind w:left="1440"/>
    </w:pPr>
  </w:style>
  <w:style w:type="paragraph" w:styleId="TOC8">
    <w:name w:val="toc 8"/>
    <w:basedOn w:val="Normal"/>
    <w:next w:val="Normal"/>
    <w:autoRedefine/>
    <w:uiPriority w:val="39"/>
    <w:semiHidden/>
    <w:pPr>
      <w:spacing w:after="100"/>
      <w:ind w:left="1680"/>
    </w:pPr>
  </w:style>
  <w:style w:type="paragraph" w:styleId="TOC9">
    <w:name w:val="toc 9"/>
    <w:basedOn w:val="Normal"/>
    <w:next w:val="Normal"/>
    <w:autoRedefine/>
    <w:uiPriority w:val="39"/>
    <w:semiHidden/>
    <w:pPr>
      <w:spacing w:after="100"/>
      <w:ind w:left="1920"/>
    </w:pPr>
  </w:style>
  <w:style w:type="paragraph" w:styleId="Revision">
    <w:name w:val="Revision"/>
    <w:hidden/>
    <w:uiPriority w:val="99"/>
    <w:pPr>
      <w:widowControl w:val="0"/>
      <w:shd w:val="clear" w:color="auto" w:fill="FFFFFF"/>
      <w:autoSpaceDE w:val="0"/>
      <w:autoSpaceDN w:val="0"/>
      <w:adjustRightInd w:val="0"/>
      <w:spacing w:after="0" w:line="240" w:lineRule="auto"/>
    </w:pPr>
    <w:rPr>
      <w:rFonts w:cs="Times New Roman"/>
      <w:sz w:val="24"/>
      <w:szCs w:val="24"/>
    </w:rPr>
  </w:style>
  <w:style w:type="table" w:styleId="TableGrid">
    <w:name w:val="Table Grid"/>
    <w:basedOn w:val="TableNormal"/>
    <w:uiPriority w:val="99"/>
    <w:pPr>
      <w:adjustRightInd w:val="0"/>
      <w:spacing w:after="0" w:line="240" w:lineRule="auto"/>
    </w:pPr>
    <w:rPr>
      <w:rFonts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table" w:styleId="ColorfulGrid">
    <w:name w:val="Colorful Grid"/>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ColorfulList">
    <w:name w:val="Colorful List"/>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5F8EE"/>
    </w:tcPr>
  </w:style>
  <w:style w:type="table" w:styleId="ColorfulList-Accent4">
    <w:name w:val="Colorful List Accent 4"/>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2EFF6"/>
    </w:tcPr>
  </w:style>
  <w:style w:type="table" w:styleId="ColorfulList-Accent5">
    <w:name w:val="Colorful List Accent 5"/>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DF6F9"/>
    </w:tcPr>
  </w:style>
  <w:style w:type="table" w:styleId="ColorfulList-Accent6">
    <w:name w:val="Colorful List Accent 6"/>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EF4EC"/>
    </w:tcPr>
  </w:style>
  <w:style w:type="table" w:styleId="ColorfulShading">
    <w:name w:val="Colorful Shading"/>
    <w:uiPriority w:val="99"/>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style>
  <w:style w:type="table" w:styleId="ColorfulShading-Accent1">
    <w:name w:val="Colorful Shading Accent 1"/>
    <w:uiPriority w:val="9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style>
  <w:style w:type="table" w:styleId="ColorfulShading-Accent2">
    <w:name w:val="Colorful Shading Accent 2"/>
    <w:uiPriority w:val="99"/>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style>
  <w:style w:type="table" w:styleId="ColorfulShading-Accent3">
    <w:name w:val="Colorful Shading Accent 3"/>
    <w:uiPriority w:val="99"/>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style>
  <w:style w:type="table" w:styleId="ColorfulShading-Accent4">
    <w:name w:val="Colorful Shading Accent 4"/>
    <w:uiPriority w:val="99"/>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style>
  <w:style w:type="table" w:styleId="ColorfulShading-Accent5">
    <w:name w:val="Colorful Shading Accent 5"/>
    <w:uiPriority w:val="99"/>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style>
  <w:style w:type="table" w:styleId="ColorfulShading-Accent6">
    <w:name w:val="Colorful Shading Accent 6"/>
    <w:uiPriority w:val="99"/>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style>
  <w:style w:type="table" w:styleId="DarkList">
    <w:name w:val="Dark List"/>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000000"/>
    </w:tcPr>
  </w:style>
  <w:style w:type="table" w:styleId="DarkList-Accent1">
    <w:name w:val="Dark List Accent 1"/>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4F81BD"/>
    </w:tcPr>
  </w:style>
  <w:style w:type="table" w:styleId="DarkList-Accent2">
    <w:name w:val="Dark List Accent 2"/>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C0504D"/>
    </w:tcPr>
  </w:style>
  <w:style w:type="table" w:styleId="DarkList-Accent3">
    <w:name w:val="Dark List Accent 3"/>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9BBB59"/>
    </w:tcPr>
  </w:style>
  <w:style w:type="table" w:styleId="DarkList-Accent4">
    <w:name w:val="Dark List Accent 4"/>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8064A2"/>
    </w:tcPr>
  </w:style>
  <w:style w:type="table" w:styleId="DarkList-Accent5">
    <w:name w:val="Dark List Accent 5"/>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4BACC6"/>
    </w:tcPr>
  </w:style>
  <w:style w:type="table" w:styleId="DarkList-Accent6">
    <w:name w:val="Dark List Accent 6"/>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F79646"/>
    </w:tcPr>
  </w:style>
  <w:style w:type="table" w:styleId="LightGrid">
    <w:name w:val="Light Grid"/>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styleId="LightGrid-Accent1">
    <w:name w:val="Light Grid Accent 1"/>
    <w:uiPriority w:val="9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LightGrid-Accent2">
    <w:name w:val="Light Grid Accent 2"/>
    <w:uiPriority w:val="9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LightGrid-Accent3">
    <w:name w:val="Light Grid Accent 3"/>
    <w:uiPriority w:val="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LightGrid-Accent4">
    <w:name w:val="Light Grid Accent 4"/>
    <w:uiPriority w:val="9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LightGrid-Accent5">
    <w:name w:val="Light Grid Accent 5"/>
    <w:uiPriority w:val="9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LightGrid-Accent6">
    <w:name w:val="Light Grid Accent 6"/>
    <w:uiPriority w:val="9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styleId="LightList">
    <w:name w:val="Light List"/>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styleId="LightList-Accent1">
    <w:name w:val="Light List Accent 1"/>
    <w:uiPriority w:val="9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LightList-Accent2">
    <w:name w:val="Light List Accent 2"/>
    <w:uiPriority w:val="9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LightList-Accent3">
    <w:name w:val="Light List Accent 3"/>
    <w:uiPriority w:val="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LightList-Accent4">
    <w:name w:val="Light List Accent 4"/>
    <w:uiPriority w:val="9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LightList-Accent5">
    <w:name w:val="Light List Accent 5"/>
    <w:uiPriority w:val="9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LightList-Accent6">
    <w:name w:val="Light List Accent 6"/>
    <w:uiPriority w:val="9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styleId="LightShading">
    <w:name w:val="Light Shading"/>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style>
  <w:style w:type="table" w:styleId="LightShading-Accent1">
    <w:name w:val="Light Shading Accent 1"/>
    <w:uiPriority w:val="99"/>
    <w:rPr>
      <w:color w:val="365F91"/>
      <w:sz w:val="20"/>
      <w:szCs w:val="2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style>
  <w:style w:type="table" w:styleId="LightShading-Accent2">
    <w:name w:val="Light Shading Accent 2"/>
    <w:uiPriority w:val="99"/>
    <w:rPr>
      <w:color w:val="943634"/>
      <w:sz w:val="20"/>
      <w:szCs w:val="2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style>
  <w:style w:type="table" w:styleId="LightShading-Accent3">
    <w:name w:val="Light Shading Accent 3"/>
    <w:uiPriority w:val="99"/>
    <w:rPr>
      <w:color w:val="76923C"/>
      <w:sz w:val="20"/>
      <w:szCs w:val="2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style>
  <w:style w:type="table" w:styleId="LightShading-Accent4">
    <w:name w:val="Light Shading Accent 4"/>
    <w:uiPriority w:val="99"/>
    <w:rPr>
      <w:color w:val="5F497A"/>
      <w:sz w:val="20"/>
      <w:szCs w:val="2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style>
  <w:style w:type="table" w:styleId="LightShading-Accent5">
    <w:name w:val="Light Shading Accent 5"/>
    <w:uiPriority w:val="99"/>
    <w:rPr>
      <w:color w:val="31849B"/>
      <w:sz w:val="20"/>
      <w:szCs w:val="2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style>
  <w:style w:type="table" w:styleId="LightShading-Accent6">
    <w:name w:val="Light Shading Accent 6"/>
    <w:uiPriority w:val="99"/>
    <w:rPr>
      <w:color w:val="E36C0A"/>
      <w:sz w:val="20"/>
      <w:szCs w:val="2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style>
  <w:style w:type="table" w:styleId="MediumGrid1">
    <w:name w:val="Medium Grid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C0C0C0"/>
    </w:tcPr>
  </w:style>
  <w:style w:type="table" w:styleId="MediumGrid1-Accent1">
    <w:name w:val="Medium Grid 1 Accent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style>
  <w:style w:type="table" w:styleId="MediumGrid1-Accent2">
    <w:name w:val="Medium Grid 1 Accent 2"/>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style>
  <w:style w:type="table" w:styleId="MediumGrid1-Accent3">
    <w:name w:val="Medium Grid 1 Accent 3"/>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style>
  <w:style w:type="table" w:styleId="MediumGrid1-Accent4">
    <w:name w:val="Medium Grid 1 Accent 4"/>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style>
  <w:style w:type="table" w:styleId="MediumGrid1-Accent5">
    <w:name w:val="Medium Grid 1 Accent 5"/>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style>
  <w:style w:type="table" w:styleId="MediumGrid1-Accent6">
    <w:name w:val="Medium Grid 1 Accent 6"/>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style>
  <w:style w:type="table" w:styleId="MediumGrid2">
    <w:name w:val="Medium Grid 2"/>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style>
  <w:style w:type="table" w:styleId="MediumGrid2-Accent1">
    <w:name w:val="Medium Grid 2 Accent 1"/>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style>
  <w:style w:type="table" w:styleId="MediumGrid2-Accent2">
    <w:name w:val="Medium Grid 2 Accent 2"/>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style>
  <w:style w:type="table" w:styleId="MediumGrid2-Accent3">
    <w:name w:val="Medium Grid 2 Accent 3"/>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style>
  <w:style w:type="table" w:styleId="MediumGrid2-Accent4">
    <w:name w:val="Medium Grid 2 Accent 4"/>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style>
  <w:style w:type="table" w:styleId="MediumGrid2-Accent5">
    <w:name w:val="Medium Grid 2 Accent 5"/>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style>
  <w:style w:type="table" w:styleId="MediumGrid2-Accent6">
    <w:name w:val="Medium Grid 2 Accent 6"/>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style>
  <w:style w:type="table" w:styleId="MediumGrid3">
    <w:name w:val="Medium Grid 3"/>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style>
  <w:style w:type="table" w:styleId="MediumGrid3-Accent1">
    <w:name w:val="Medium Grid 3 Accent 1"/>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style>
  <w:style w:type="table" w:styleId="MediumGrid3-Accent2">
    <w:name w:val="Medium Grid 3 Accent 2"/>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style>
  <w:style w:type="table" w:styleId="MediumGrid3-Accent3">
    <w:name w:val="Medium Grid 3 Accent 3"/>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style>
  <w:style w:type="table" w:styleId="MediumGrid3-Accent4">
    <w:name w:val="Medium Grid 3 Accent 4"/>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style>
  <w:style w:type="table" w:styleId="MediumGrid3-Accent5">
    <w:name w:val="Medium Grid 3 Accent 5"/>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style>
  <w:style w:type="table" w:styleId="MediumGrid3-Accent6">
    <w:name w:val="Medium Grid 3 Accent 6"/>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style>
  <w:style w:type="table" w:styleId="MediumList1">
    <w:name w:val="Medium List 1"/>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style>
  <w:style w:type="table" w:styleId="MediumList1-Accent1">
    <w:name w:val="Medium List 1 Accent 1"/>
    <w:uiPriority w:val="99"/>
    <w:rPr>
      <w:color w:val="000000"/>
      <w:sz w:val="20"/>
      <w:szCs w:val="2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style>
  <w:style w:type="table" w:styleId="MediumList1-Accent2">
    <w:name w:val="Medium List 1 Accent 2"/>
    <w:basedOn w:val="TableNormal"/>
    <w:uiPriority w:val="99"/>
    <w:pPr>
      <w:adjustRightInd w:val="0"/>
      <w:spacing w:after="0" w:line="240" w:lineRule="auto"/>
    </w:pPr>
    <w:rPr>
      <w:rFonts w:cs="Times New Roman"/>
      <w:color w:val="000000"/>
      <w:sz w:val="20"/>
      <w:szCs w:val="2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Pr>
      <w:color w:val="000000"/>
      <w:sz w:val="20"/>
      <w:szCs w:val="2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style>
  <w:style w:type="table" w:styleId="MediumList1-Accent4">
    <w:name w:val="Medium List 1 Accent 4"/>
    <w:uiPriority w:val="99"/>
    <w:rPr>
      <w:color w:val="000000"/>
      <w:sz w:val="20"/>
      <w:szCs w:val="2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style>
  <w:style w:type="table" w:styleId="MediumList1-Accent5">
    <w:name w:val="Medium List 1 Accent 5"/>
    <w:uiPriority w:val="99"/>
    <w:rPr>
      <w:color w:val="000000"/>
      <w:sz w:val="20"/>
      <w:szCs w:val="2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style>
  <w:style w:type="table" w:styleId="MediumList1-Accent6">
    <w:name w:val="Medium List 1 Accent 6"/>
    <w:uiPriority w:val="99"/>
    <w:rPr>
      <w:color w:val="000000"/>
      <w:sz w:val="20"/>
      <w:szCs w:val="2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style>
  <w:style w:type="table" w:styleId="MediumList2">
    <w:name w:val="Medium List 2"/>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styleId="MediumList2-Accent1">
    <w:name w:val="Medium List 2 Accent 1"/>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MediumList2-Accent2">
    <w:name w:val="Medium List 2 Accent 2"/>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MediumList2-Accent3">
    <w:name w:val="Medium List 2 Accent 3"/>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MediumList2-Accent4">
    <w:name w:val="Medium List 2 Accent 4"/>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MediumList2-Accent5">
    <w:name w:val="Medium List 2 Accent 5"/>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MediumList2-Accent6">
    <w:name w:val="Medium List 2 Accent 6"/>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styleId="MediumShading1">
    <w:name w:val="Medium Shading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1">
    <w:name w:val="Medium Shading 1 Accent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2">
    <w:name w:val="Medium Shading 1 Accent 2"/>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BE5F1"/>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B8CCE4"/>
      </w:tcPr>
    </w:tblStylePr>
    <w:tblStylePr w:type="firstCol">
      <w:pPr>
        <w:ind w:left="0" w:right="0"/>
      </w:pPr>
      <w:rPr>
        <w:rFonts w:cs="Times New Roman"/>
        <w:b/>
        <w:bCs/>
        <w:color w:val="FFFFFF"/>
      </w:rPr>
      <w:tblPr/>
      <w:tcPr>
        <w:shd w:val="clear" w:color="auto" w:fill="365F91"/>
      </w:tcPr>
    </w:tblStylePr>
    <w:tblStylePr w:type="lastCol">
      <w:pPr>
        <w:ind w:left="0" w:right="0"/>
      </w:pPr>
      <w:rPr>
        <w:rFonts w:cs="Times New Roman"/>
        <w:b/>
        <w:bCs/>
        <w:color w:val="FFFFFF"/>
      </w:rPr>
      <w:tblPr/>
      <w:tcPr>
        <w:shd w:val="clear" w:color="auto" w:fill="365F91"/>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2DBDB"/>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E5B8B7"/>
      </w:tcPr>
    </w:tblStylePr>
    <w:tblStylePr w:type="firstCol">
      <w:pPr>
        <w:ind w:left="0" w:right="0"/>
      </w:pPr>
      <w:rPr>
        <w:rFonts w:cs="Times New Roman"/>
        <w:b/>
        <w:bCs/>
        <w:color w:val="FFFFFF"/>
      </w:rPr>
      <w:tblPr/>
      <w:tcPr>
        <w:shd w:val="clear" w:color="auto" w:fill="943634"/>
      </w:tcPr>
    </w:tblStylePr>
    <w:tblStylePr w:type="lastCol">
      <w:pPr>
        <w:ind w:left="0" w:right="0"/>
      </w:pPr>
      <w:rPr>
        <w:rFonts w:cs="Times New Roman"/>
        <w:b/>
        <w:bCs/>
        <w:color w:val="FFFFFF"/>
      </w:rPr>
      <w:tblPr/>
      <w:tcPr>
        <w:shd w:val="clear" w:color="auto" w:fill="943634"/>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AF1DD"/>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D6E3BC"/>
      </w:tcPr>
    </w:tblStylePr>
    <w:tblStylePr w:type="firstCol">
      <w:pPr>
        <w:ind w:left="0" w:right="0"/>
      </w:pPr>
      <w:rPr>
        <w:rFonts w:cs="Times New Roman"/>
        <w:b/>
        <w:bCs/>
        <w:color w:val="FFFFFF"/>
      </w:rPr>
      <w:tblPr/>
      <w:tcPr>
        <w:shd w:val="clear" w:color="auto" w:fill="76923C"/>
      </w:tcPr>
    </w:tblStylePr>
    <w:tblStylePr w:type="lastCol">
      <w:pPr>
        <w:ind w:left="0" w:right="0"/>
      </w:pPr>
      <w:rPr>
        <w:rFonts w:cs="Times New Roman"/>
        <w:b/>
        <w:bCs/>
        <w:color w:val="FFFFFF"/>
      </w:rPr>
      <w:tblPr/>
      <w:tcPr>
        <w:shd w:val="clear" w:color="auto" w:fill="76923C"/>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5DFE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CCC0D9"/>
      </w:tcPr>
    </w:tblStylePr>
    <w:tblStylePr w:type="firstCol">
      <w:pPr>
        <w:ind w:left="0" w:right="0"/>
      </w:pPr>
      <w:rPr>
        <w:rFonts w:cs="Times New Roman"/>
        <w:b/>
        <w:bCs/>
        <w:color w:val="FFFFFF"/>
      </w:rPr>
      <w:tblPr/>
      <w:tcPr>
        <w:shd w:val="clear" w:color="auto" w:fill="5F497A"/>
      </w:tcPr>
    </w:tblStylePr>
    <w:tblStylePr w:type="lastCol">
      <w:pPr>
        <w:ind w:left="0" w:right="0"/>
      </w:pPr>
      <w:rPr>
        <w:rFonts w:cs="Times New Roman"/>
        <w:b/>
        <w:bCs/>
        <w:color w:val="FFFFFF"/>
      </w:rPr>
      <w:tblPr/>
      <w:tcPr>
        <w:shd w:val="clear" w:color="auto" w:fill="5F497A"/>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styleId="MediumShading2">
    <w:name w:val="Medium Shading 2"/>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1">
    <w:name w:val="Medium Shading 2 Accent 1"/>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DF2F8"/>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5F8EE"/>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TableNormal"/>
    <w:uiPriority w:val="99"/>
    <w:pPr>
      <w:adjustRightInd w:val="0"/>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2EFF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F2730A"/>
      </w:tcPr>
    </w:tblStylePr>
    <w:tblStylePr w:type="lastRow">
      <w:pPr>
        <w:ind w:left="0" w:right="0"/>
      </w:pPr>
      <w:rPr>
        <w:rFonts w:cs="Times New Roman"/>
        <w:b/>
        <w:bCs/>
        <w:color w:val="F2730A"/>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tcBorders>
          <w:top w:val="single" w:sz="6" w:space="0" w:color="808080"/>
          <w:bottom w:val="single" w:sz="6" w:space="0" w:color="FFFFFF"/>
        </w:tcBorders>
        <w:shd w:val="clear" w:color="auto" w:fill="FDE9D9"/>
      </w:tcPr>
    </w:tblStylePr>
    <w:tblStylePr w:type="swCell">
      <w:pPr>
        <w:ind w:left="0" w:right="0"/>
      </w:pPr>
      <w:rPr>
        <w:rFonts w:cs="Times New Roman"/>
        <w:b/>
        <w:bCs/>
      </w:rPr>
    </w:tblStylePr>
  </w:style>
  <w:style w:type="table" w:styleId="Table3Deffects3">
    <w:name w:val="Table 3D effects 3"/>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one" w:sz="0" w:space="0" w:color="auto"/>
          <w:left w:val="nil"/>
          <w:bottom w:val="none" w:sz="0" w:space="0" w:color="auto"/>
          <w:right w:val="single" w:sz="6" w:space="0" w:color="808080"/>
        </w:tcBorders>
        <w:shd w:val="clear" w:color="auto" w:fill="000000"/>
      </w:tcPr>
    </w:tblStylePr>
    <w:tblStylePr w:type="lastCol">
      <w:pPr>
        <w:ind w:left="0" w:right="0"/>
      </w:pPr>
      <w:rPr>
        <w:rFonts w:cs="Times New Roman"/>
        <w:color w:val="FFFFFF"/>
      </w:rPr>
      <w:tblPr/>
      <w:tcPr>
        <w:tcBorders>
          <w:top w:val="nil"/>
          <w:left w:val="nil"/>
          <w:bottom w:val="nil"/>
          <w:right w:val="single" w:sz="6" w:space="0" w:color="FFFFFF"/>
        </w:tcBorders>
        <w:shd w:val="clear" w:color="auto" w:fill="000000"/>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lassic1">
    <w:name w:val="Table Classic 1"/>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top w:val="single" w:sz="12" w:space="0" w:color="000000"/>
        <w:bottom w:val="single" w:sz="12" w:space="0" w:color="000000"/>
      </w:tblBorders>
      <w:tblCellMar>
        <w:top w:w="3" w:type="dxa"/>
        <w:left w:w="108" w:type="dxa"/>
        <w:bottom w:w="3" w:type="dxa"/>
        <w:right w:w="108" w:type="dxa"/>
      </w:tblCellMar>
    </w:tblPr>
    <w:tcPr>
      <w:shd w:val="clear" w:color="000000" w:fill="EDF2F8"/>
    </w:tcPr>
    <w:tblStylePr w:type="firstRow">
      <w:pPr>
        <w:ind w:left="0" w:right="0"/>
      </w:pPr>
      <w:rPr>
        <w:rFonts w:cs="Times New Roman"/>
        <w:b/>
        <w:bCs/>
        <w:i/>
        <w:iCs/>
      </w:rPr>
      <w:tblPr/>
      <w:tcPr>
        <w:tcBorders>
          <w:top w:val="nil"/>
          <w:left w:val="nil"/>
          <w:bottom w:val="single" w:sz="6" w:space="0" w:color="000000"/>
          <w:right w:val="nil"/>
        </w:tcBorders>
        <w:shd w:val="clear" w:color="auto" w:fill="FFFFFF"/>
      </w:tcPr>
    </w:tblStylePr>
    <w:tblStylePr w:type="lastRow">
      <w:pPr>
        <w:ind w:left="0" w:right="0"/>
      </w:pPr>
      <w:rPr>
        <w:rFonts w:cs="Times New Roman"/>
        <w:b/>
        <w:bCs/>
        <w:color w:val="auto"/>
      </w:rPr>
      <w:tblPr/>
      <w:tcPr>
        <w:tcBorders>
          <w:top w:val="single" w:sz="6" w:space="0" w:color="000000"/>
        </w:tcBorders>
        <w:shd w:val="clear" w:color="auto" w:fill="2C4C74"/>
      </w:tcPr>
    </w:tblStylePr>
    <w:tblStylePr w:type="firstCol">
      <w:pPr>
        <w:ind w:left="0" w:right="0"/>
      </w:pPr>
      <w:rPr>
        <w:rFonts w:cs="Times New Roman"/>
        <w:color w:val="FFFFFF"/>
      </w:rPr>
      <w:tblPr/>
      <w:tcPr>
        <w:tcBorders>
          <w:top w:val="nil"/>
          <w:left w:val="nil"/>
          <w:bottom w:val="nil"/>
          <w:right w:val="single" w:sz="6" w:space="0" w:color="auto"/>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lassic2">
    <w:name w:val="Table Classic 2"/>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top w:val="single" w:sz="12" w:space="0" w:color="000000"/>
        <w:bottom w:val="single" w:sz="12" w:space="0" w:color="000000"/>
      </w:tblBorders>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top w:val="nil"/>
          <w:left w:val="nil"/>
          <w:bottom w:val="single" w:sz="6" w:space="0" w:color="000000"/>
          <w:right w:val="nil"/>
        </w:tcBorders>
        <w:shd w:val="solid" w:color="800080" w:fill="FFFFFF"/>
      </w:tcPr>
    </w:tblStylePr>
    <w:tblStylePr w:type="lastRow">
      <w:pPr>
        <w:ind w:left="0" w:right="0"/>
      </w:pPr>
      <w:rPr>
        <w:rFonts w:cs="Times New Roman"/>
        <w:b/>
        <w:bCs/>
        <w:color w:val="FFFFFF"/>
      </w:rPr>
      <w:tblPr/>
      <w:tcPr>
        <w:tcBorders>
          <w:top w:val="single" w:sz="6" w:space="0" w:color="000000"/>
        </w:tcBorders>
        <w:shd w:val="clear" w:color="auto" w:fill="772C2A"/>
      </w:tcPr>
    </w:tblStylePr>
    <w:tblStylePr w:type="firstCol">
      <w:pPr>
        <w:ind w:left="0" w:right="0"/>
      </w:pPr>
      <w:rPr>
        <w:rFonts w:cs="Times New Roman"/>
        <w:b/>
        <w:bCs/>
        <w:color w:val="FFFFFF"/>
      </w:rPr>
      <w:tblPr/>
      <w:tcPr>
        <w:tcBorders>
          <w:top w:val="nil"/>
          <w:left w:val="nil"/>
          <w:bottom w:val="nil"/>
          <w:right w:val="none" w:sz="0" w:space="0" w:color="772C2A"/>
        </w:tcBorders>
        <w:shd w:val="solid" w:color="C0C0C0" w:fill="FFFFFF"/>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b/>
        <w:bCs/>
        <w:color w:val="000000"/>
      </w:rPr>
    </w:tblStylePr>
    <w:tblStylePr w:type="nwCell">
      <w:pPr>
        <w:ind w:left="0" w:right="0"/>
      </w:pPr>
      <w:rPr>
        <w:rFonts w:cs="Times New Roman"/>
        <w:color w:val="000000"/>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widowControl w:val="0"/>
      <w:autoSpaceDE w:val="0"/>
      <w:autoSpaceDN w:val="0"/>
      <w:adjustRightInd w:val="0"/>
      <w:spacing w:after="0" w:line="240" w:lineRule="auto"/>
    </w:pPr>
    <w:rPr>
      <w:rFonts w:cs="Times New Roman"/>
      <w:color w:val="000080"/>
      <w:sz w:val="20"/>
      <w:szCs w:val="20"/>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solid" w:color="C0C0C0" w:fill="FFFFFF"/>
    </w:tcPr>
    <w:tblStylePr w:type="firstRow">
      <w:pPr>
        <w:ind w:left="0" w:right="0"/>
      </w:pPr>
      <w:rPr>
        <w:rFonts w:cs="Times New Roman"/>
        <w:b/>
        <w:bCs/>
        <w:i/>
        <w:iCs/>
        <w:color w:val="FFFFFF"/>
      </w:rPr>
      <w:tblPr/>
      <w:tcPr>
        <w:tcBorders>
          <w:top w:val="nil"/>
          <w:left w:val="nil"/>
          <w:bottom w:val="single" w:sz="6" w:space="0" w:color="000000"/>
          <w:right w:val="nil"/>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TableClassic4">
    <w:name w:val="Table Classic 4"/>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top w:val="single" w:sz="12" w:space="0" w:color="000000"/>
        <w:left w:val="single" w:sz="6" w:space="0" w:color="000000"/>
        <w:bottom w:val="single" w:sz="12" w:space="0" w:color="000000"/>
        <w:right w:val="single" w:sz="6" w:space="0" w:color="000000"/>
      </w:tblBorders>
      <w:tblCellMar>
        <w:top w:w="3" w:type="dxa"/>
        <w:left w:w="108" w:type="dxa"/>
        <w:bottom w:w="3" w:type="dxa"/>
        <w:right w:w="108" w:type="dxa"/>
      </w:tblCellMar>
    </w:tblPr>
    <w:tcPr>
      <w:shd w:val="clear" w:color="000000" w:fill="F2EFF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TableNormal"/>
    <w:uiPriority w:val="99"/>
    <w:pPr>
      <w:widowControl w:val="0"/>
      <w:autoSpaceDE w:val="0"/>
      <w:autoSpaceDN w:val="0"/>
      <w:adjustRightInd w:val="0"/>
      <w:spacing w:after="0" w:line="240" w:lineRule="auto"/>
    </w:pPr>
    <w:rPr>
      <w:rFonts w:cs="Times New Roman"/>
      <w:color w:val="FFFFFF"/>
      <w:sz w:val="20"/>
      <w:szCs w:val="20"/>
    </w:rPr>
    <w:tblPr>
      <w:tblStyleRowBandSize w:val="1"/>
      <w:tblStyleColBandSize w:val="1"/>
      <w:tblInd w:w="0" w:type="dxa"/>
      <w:tblBorders>
        <w:top w:val="single" w:sz="12" w:space="0" w:color="008080"/>
        <w:left w:val="single" w:sz="12" w:space="0" w:color="008080"/>
        <w:bottom w:val="single" w:sz="12" w:space="0" w:color="008080"/>
        <w:right w:val="single" w:sz="12" w:space="0" w:color="008080"/>
      </w:tblBorders>
      <w:tblCellMar>
        <w:top w:w="3" w:type="dxa"/>
        <w:left w:w="108" w:type="dxa"/>
        <w:bottom w:w="3" w:type="dxa"/>
        <w:right w:w="108" w:type="dxa"/>
      </w:tblCellMar>
    </w:tblPr>
    <w:tcPr>
      <w:shd w:val="solid" w:color="008080" w:fill="FFFFFF"/>
    </w:tcPr>
    <w:tblStylePr w:type="firstRow">
      <w:pPr>
        <w:ind w:left="0" w:right="0"/>
      </w:pPr>
      <w:rPr>
        <w:rFonts w:cs="Times New Roman"/>
        <w:b/>
        <w:bCs/>
        <w:i/>
        <w:iCs/>
      </w:rPr>
      <w:tblPr/>
      <w:tcPr>
        <w:tcBorders>
          <w:top w:val="nil"/>
          <w:left w:val="nil"/>
          <w:bottom w:val="single" w:sz="24" w:space="0" w:color="F79646"/>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b/>
        <w:bCs/>
        <w:i/>
        <w:iCs/>
        <w:color w:val="FFFFFF"/>
      </w:rPr>
      <w:tblPr/>
      <w:tcPr>
        <w:tcBorders>
          <w:top w:val="nil"/>
          <w:left w:val="nil"/>
          <w:bottom w:val="nil"/>
          <w:right w:val="none" w:sz="0" w:space="0" w:color="276A7C"/>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bottom w:val="single" w:sz="12" w:space="0" w:color="000000"/>
      </w:tblBorders>
      <w:tblCellMar>
        <w:top w:w="3" w:type="dxa"/>
        <w:left w:w="108" w:type="dxa"/>
        <w:bottom w:w="3" w:type="dxa"/>
        <w:right w:w="108" w:type="dxa"/>
      </w:tblCellMar>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b/>
        <w:bCs/>
        <w:i/>
        <w:iCs/>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top w:val="single" w:sz="18" w:space="0" w:color="000000"/>
        <w:left w:val="single" w:sz="18" w:space="0" w:color="000000"/>
        <w:bottom w:val="single" w:sz="18" w:space="0" w:color="000000"/>
        <w:right w:val="single" w:sz="18" w:space="0" w:color="000000"/>
      </w:tblBorders>
      <w:tblCellMar>
        <w:top w:w="3" w:type="dxa"/>
        <w:left w:w="108" w:type="dxa"/>
        <w:bottom w:w="3" w:type="dxa"/>
        <w:right w:w="108" w:type="dxa"/>
      </w:tblCellMar>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widowControl w:val="0"/>
      <w:autoSpaceDE w:val="0"/>
      <w:autoSpaceDN w:val="0"/>
      <w:adjustRightInd w:val="0"/>
      <w:spacing w:after="0" w:line="240" w:lineRule="auto"/>
    </w:pPr>
    <w:rPr>
      <w:rFonts w:cs="Times New Roman"/>
      <w:b/>
      <w:bCs/>
      <w:sz w:val="20"/>
      <w:szCs w:val="20"/>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clear" w:color="000000" w:fill="4F81BD"/>
    </w:tcPr>
    <w:tblStylePr w:type="firstRow">
      <w:pPr>
        <w:ind w:left="0" w:right="0"/>
      </w:pPr>
      <w:rPr>
        <w:rFonts w:cs="Times New Roman"/>
        <w:b/>
        <w:bCs/>
      </w:rPr>
      <w:tblPr/>
      <w:tcPr>
        <w:tcBorders>
          <w:top w:val="nil"/>
          <w:left w:val="nil"/>
          <w:bottom w:val="double" w:sz="6" w:space="0" w:color="000000"/>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color w:val="auto"/>
      </w:rPr>
      <w:tblPr/>
      <w:tcPr>
        <w:tcBorders>
          <w:top w:val="nil"/>
          <w:left w:val="nil"/>
          <w:bottom w:val="nil"/>
          <w:right w:val="nil"/>
        </w:tcBorders>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tcBorders>
          <w:top w:val="nil"/>
          <w:left w:val="nil"/>
          <w:bottom w:val="nil"/>
          <w:right w:val="nil"/>
        </w:tcBorders>
        <w:shd w:val="clear" w:color="auto" w:fill="365F91"/>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widowControl w:val="0"/>
      <w:autoSpaceDE w:val="0"/>
      <w:autoSpaceDN w:val="0"/>
      <w:adjustRightInd w:val="0"/>
      <w:spacing w:after="0" w:line="240" w:lineRule="auto"/>
    </w:pPr>
    <w:rPr>
      <w:rFonts w:cs="Times New Roman"/>
      <w:b/>
      <w:bCs/>
      <w:sz w:val="20"/>
      <w:szCs w:val="20"/>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color w:val="FFFFFF"/>
      </w:rPr>
      <w:tblPr/>
      <w:tcPr>
        <w:tcBorders>
          <w:top w:val="nil"/>
          <w:left w:val="nil"/>
          <w:bottom w:val="single" w:sz="18" w:space="0" w:color="FFFFFF"/>
          <w:right w:val="nil"/>
        </w:tcBorders>
        <w:shd w:val="solid" w:color="000080" w:fill="FFFFFF"/>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color w:val="000000"/>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color w:val="auto"/>
      </w:rPr>
      <w:tblPr/>
      <w:tcPr>
        <w:tcBorders>
          <w:top w:val="nil"/>
          <w:left w:val="nil"/>
          <w:bottom w:val="nil"/>
          <w:right w:val="nil"/>
        </w:tcBorders>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tcBorders>
          <w:top w:val="nil"/>
          <w:left w:val="nil"/>
          <w:bottom w:val="nil"/>
          <w:right w:val="nil"/>
        </w:tcBorders>
        <w:shd w:val="clear" w:color="auto" w:fill="943634"/>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widowControl w:val="0"/>
      <w:autoSpaceDE w:val="0"/>
      <w:autoSpaceDN w:val="0"/>
      <w:adjustRightInd w:val="0"/>
      <w:spacing w:after="0" w:line="240" w:lineRule="auto"/>
    </w:pPr>
    <w:rPr>
      <w:rFonts w:cs="Times New Roman"/>
      <w:b/>
      <w:bCs/>
      <w:sz w:val="20"/>
      <w:szCs w:val="20"/>
    </w:rPr>
    <w:tblPr>
      <w:tblStyleRowBandSize w:val="1"/>
      <w:tblStyleColBandSize w:val="1"/>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cPr>
      <w:shd w:val="clear" w:color="000000" w:fill="9BBB59"/>
    </w:tcPr>
    <w:tblStylePr w:type="firstRow">
      <w:pPr>
        <w:ind w:left="0" w:right="0"/>
      </w:pPr>
      <w:rPr>
        <w:rFonts w:cs="Times New Roman"/>
        <w:b/>
        <w:bCs/>
        <w:color w:val="FFFFFF"/>
      </w:rPr>
      <w:tblPr/>
      <w:tcPr>
        <w:tcBorders>
          <w:top w:val="nil"/>
          <w:left w:val="nil"/>
          <w:bottom w:val="single" w:sz="18" w:space="0" w:color="FFFFFF"/>
          <w:right w:val="nil"/>
        </w:tcBorders>
        <w:shd w:val="solid" w:color="000080" w:fill="FFFFFF"/>
      </w:tcPr>
    </w:tblStylePr>
    <w:tblStylePr w:type="lastRow">
      <w:pPr>
        <w:ind w:left="0" w:right="0"/>
      </w:pPr>
      <w:rPr>
        <w:rFonts w:cs="Times New Roman"/>
      </w:rPr>
      <w:tblPr/>
      <w:tcPr>
        <w:tcBorders>
          <w:top w:val="single" w:sz="6" w:space="0" w:color="000080"/>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tcBorders>
          <w:top w:val="nil"/>
          <w:left w:val="nil"/>
          <w:bottom w:val="nil"/>
          <w:right w:val="nil"/>
        </w:tcBorders>
        <w:shd w:val="clear" w:color="auto" w:fill="76923C"/>
      </w:tcPr>
    </w:tblStylePr>
    <w:tblStylePr w:type="neCell">
      <w:pPr>
        <w:ind w:left="0" w:right="0"/>
      </w:pPr>
      <w:rPr>
        <w:rFonts w:cs="Times New Roman"/>
        <w:b/>
        <w:bCs/>
      </w:rPr>
    </w:tblStylePr>
  </w:style>
  <w:style w:type="table" w:styleId="TableColumns4">
    <w:name w:val="Table Columns 4"/>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color w:val="FFFFFF"/>
      </w:rPr>
      <w:tblPr/>
      <w:tcPr>
        <w:tcBorders>
          <w:top w:val="nil"/>
          <w:left w:val="nil"/>
          <w:bottom w:val="single" w:sz="18" w:space="0" w:color="FFFFFF"/>
          <w:right w:val="nil"/>
        </w:tcBorders>
        <w:shd w:val="solid" w:color="0000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color w:val="auto"/>
      </w:rPr>
      <w:tblPr/>
      <w:tcPr>
        <w:tcBorders>
          <w:top w:val="nil"/>
          <w:left w:val="nil"/>
          <w:bottom w:val="nil"/>
          <w:right w:val="nil"/>
        </w:tcBorders>
        <w:shd w:val="pct50" w:color="00808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TableColumns5">
    <w:name w:val="Table Columns 5"/>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cPr>
      <w:shd w:val="clear" w:color="000000" w:fill="4BACC6"/>
    </w:tcPr>
    <w:tblStylePr w:type="firstRow">
      <w:pPr>
        <w:ind w:left="0" w:right="0"/>
      </w:pPr>
      <w:rPr>
        <w:rFonts w:cs="Times New Roman"/>
        <w:b/>
        <w:bCs/>
        <w:i/>
        <w:iCs/>
      </w:rPr>
      <w:tblPr/>
      <w:tcPr>
        <w:tcBorders>
          <w:top w:val="nil"/>
          <w:left w:val="nil"/>
          <w:bottom w:val="single" w:sz="6" w:space="0" w:color="808080"/>
          <w:right w:val="nil"/>
        </w:tcBorders>
        <w:shd w:val="clear" w:color="auto" w:fill="000000"/>
      </w:tcPr>
    </w:tblStylePr>
    <w:tblStylePr w:type="lastRow">
      <w:pPr>
        <w:ind w:left="0" w:right="0"/>
      </w:pPr>
      <w:rPr>
        <w:rFonts w:cs="Times New Roman"/>
        <w:b/>
        <w:bCs/>
      </w:rPr>
      <w:tblPr/>
      <w:tcPr>
        <w:tcBorders>
          <w:top w:val="single" w:sz="6" w:space="0" w:color="80808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b/>
        <w:bCs/>
      </w:rPr>
      <w:tblPr/>
      <w:tcPr>
        <w:tcBorders>
          <w:top w:val="nil"/>
          <w:left w:val="single" w:sz="18" w:space="0" w:color="FFFFFF"/>
          <w:bottom w:val="nil"/>
          <w:right w:val="nil"/>
        </w:tcBorders>
        <w:shd w:val="clear" w:color="auto" w:fill="31849B"/>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TableContemporary">
    <w:name w:val="Table Contemporary"/>
    <w:basedOn w:val="TableNormal"/>
    <w:uiPriority w:val="99"/>
    <w:pPr>
      <w:widowControl w:val="0"/>
      <w:autoSpaceDE w:val="0"/>
      <w:autoSpaceDN w:val="0"/>
      <w:adjustRightInd w:val="0"/>
      <w:spacing w:after="0" w:line="240" w:lineRule="auto"/>
    </w:pPr>
    <w:rPr>
      <w:rFonts w:cs="Times New Roman"/>
      <w:sz w:val="20"/>
      <w:szCs w:val="20"/>
    </w:rPr>
    <w:tblPr>
      <w:tblStyleRowBandSize w:val="1"/>
      <w:tblStyleColBandSize w:val="1"/>
      <w:tblInd w:w="0" w:type="dxa"/>
      <w:tblCellMar>
        <w:top w:w="3" w:type="dxa"/>
        <w:left w:w="108" w:type="dxa"/>
        <w:bottom w:w="3" w:type="dxa"/>
        <w:right w:w="108" w:type="dxa"/>
      </w:tblCellMar>
    </w:tblPr>
    <w:tcPr>
      <w:shd w:val="clear" w:color="000000" w:fill="F79646"/>
    </w:tcPr>
    <w:tblStylePr w:type="firstRow">
      <w:pPr>
        <w:ind w:left="0" w:right="0"/>
      </w:pPr>
      <w:rPr>
        <w:rFonts w:cs="Times New Roman"/>
        <w:b/>
        <w:bCs/>
        <w:color w:val="auto"/>
      </w:rPr>
      <w:tblPr/>
      <w:tcPr>
        <w:tcBorders>
          <w:top w:val="nil"/>
          <w:left w:val="nil"/>
          <w:bottom w:val="single" w:sz="18" w:space="0" w:color="FFFFFF"/>
          <w:right w:val="nil"/>
        </w:tcBorders>
        <w:shd w:val="pct20" w:color="000000" w:fill="FFFFFF"/>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color w:val="auto"/>
      </w:rPr>
      <w:tblPr/>
      <w:tcPr>
        <w:tcBorders>
          <w:top w:val="nil"/>
          <w:left w:val="nil"/>
          <w:bottom w:val="nil"/>
          <w:right w:val="nil"/>
        </w:tcBorders>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uiPriority w:val="99"/>
    <w:rPr>
      <w:sz w:val="20"/>
      <w:szCs w:val="20"/>
    </w:r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style>
  <w:style w:type="table" w:styleId="TableGrid1">
    <w:name w:val="Table Grid 1"/>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Grid2">
    <w:name w:val="Table Grid 2"/>
    <w:uiPriority w:val="99"/>
    <w:rPr>
      <w:sz w:val="20"/>
      <w:szCs w:val="20"/>
    </w:rPr>
    <w:tblPr>
      <w:tblInd w:w="0" w:type="dxa"/>
      <w:tblCellMar>
        <w:top w:w="3" w:type="dxa"/>
        <w:left w:w="108" w:type="dxa"/>
        <w:bottom w:w="3" w:type="dxa"/>
        <w:right w:w="108" w:type="dxa"/>
      </w:tblCellMar>
    </w:tblPr>
  </w:style>
  <w:style w:type="table" w:styleId="TableGrid3">
    <w:name w:val="Table Grid 3"/>
    <w:uiPriority w:val="99"/>
    <w:rPr>
      <w:sz w:val="20"/>
      <w:szCs w:val="20"/>
    </w:rPr>
    <w:tblPr>
      <w:tblInd w:w="0" w:type="dxa"/>
      <w:tblBorders>
        <w:top w:val="single" w:sz="6" w:space="0" w:color="000000"/>
        <w:left w:val="single" w:sz="12" w:space="0" w:color="000000"/>
        <w:bottom w:val="single" w:sz="6" w:space="0" w:color="000000"/>
        <w:right w:val="single" w:sz="12" w:space="0" w:color="000000"/>
      </w:tblBorders>
      <w:tblCellMar>
        <w:top w:w="3" w:type="dxa"/>
        <w:left w:w="108" w:type="dxa"/>
        <w:bottom w:w="3" w:type="dxa"/>
        <w:right w:w="108" w:type="dxa"/>
      </w:tblCellMar>
    </w:tblPr>
  </w:style>
  <w:style w:type="table" w:styleId="TableGrid4">
    <w:name w:val="Table Grid 4"/>
    <w:uiPriority w:val="99"/>
    <w:rPr>
      <w:sz w:val="20"/>
      <w:szCs w:val="20"/>
    </w:rPr>
    <w:tblPr>
      <w:tblInd w:w="0" w:type="dxa"/>
      <w:tblBorders>
        <w:left w:val="single" w:sz="12" w:space="0" w:color="000000"/>
        <w:right w:val="single" w:sz="12" w:space="0" w:color="000000"/>
      </w:tblBorders>
      <w:tblCellMar>
        <w:top w:w="3" w:type="dxa"/>
        <w:left w:w="108" w:type="dxa"/>
        <w:bottom w:w="3" w:type="dxa"/>
        <w:right w:w="108" w:type="dxa"/>
      </w:tblCellMar>
    </w:tblPr>
  </w:style>
  <w:style w:type="table" w:styleId="TableGrid5">
    <w:name w:val="Table Grid 5"/>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Grid6">
    <w:name w:val="Table Grid 6"/>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Grid7">
    <w:name w:val="Table Grid 7"/>
    <w:uiPriority w:val="99"/>
    <w:rPr>
      <w:b/>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Grid8">
    <w:name w:val="Table Grid 8"/>
    <w:uiPriority w:val="99"/>
    <w:rPr>
      <w:sz w:val="20"/>
      <w:szCs w:val="20"/>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style>
  <w:style w:type="table" w:styleId="TableList1">
    <w:name w:val="Table List 1"/>
    <w:uiPriority w:val="99"/>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style>
  <w:style w:type="table" w:styleId="TableList2">
    <w:name w:val="Table List 2"/>
    <w:uiPriority w:val="99"/>
    <w:rPr>
      <w:sz w:val="20"/>
      <w:szCs w:val="20"/>
    </w:rPr>
    <w:tblPr>
      <w:tblStyleRowBandSize w:val="2"/>
      <w:tblInd w:w="0" w:type="dxa"/>
      <w:tblBorders>
        <w:bottom w:val="single" w:sz="12" w:space="0" w:color="808080"/>
      </w:tblBorders>
      <w:tblCellMar>
        <w:top w:w="3" w:type="dxa"/>
        <w:left w:w="108" w:type="dxa"/>
        <w:bottom w:w="3" w:type="dxa"/>
        <w:right w:w="108" w:type="dxa"/>
      </w:tblCellMar>
    </w:tblPr>
  </w:style>
  <w:style w:type="table" w:styleId="TableList3">
    <w:name w:val="Table List 3"/>
    <w:uiPriority w:val="99"/>
    <w:rPr>
      <w:sz w:val="20"/>
      <w:szCs w:val="20"/>
    </w:rPr>
    <w:tblPr>
      <w:tblInd w:w="0" w:type="dxa"/>
      <w:tblBorders>
        <w:top w:val="single" w:sz="12" w:space="0" w:color="000000"/>
        <w:bottom w:val="single" w:sz="12" w:space="0" w:color="000000"/>
      </w:tblBorders>
      <w:tblCellMar>
        <w:top w:w="3" w:type="dxa"/>
        <w:left w:w="108" w:type="dxa"/>
        <w:bottom w:w="3" w:type="dxa"/>
        <w:right w:w="108" w:type="dxa"/>
      </w:tblCellMar>
    </w:tblPr>
  </w:style>
  <w:style w:type="table" w:styleId="TableList4">
    <w:name w:val="Table List 4"/>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List5">
    <w:name w:val="Table List 5"/>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List6">
    <w:name w:val="Table List 6"/>
    <w:uiPriority w:val="99"/>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style>
  <w:style w:type="table" w:styleId="TableList7">
    <w:name w:val="Table List 7"/>
    <w:uiPriority w:val="99"/>
    <w:rPr>
      <w:sz w:val="20"/>
      <w:szCs w:val="20"/>
    </w:rPr>
    <w:tblPr>
      <w:tblStyleRowBandSize w:val="1"/>
      <w:tblInd w:w="0" w:type="dxa"/>
      <w:tblBorders>
        <w:top w:val="single" w:sz="12" w:space="0" w:color="auto"/>
        <w:left w:val="single" w:sz="6" w:space="0" w:color="auto"/>
        <w:bottom w:val="single" w:sz="12" w:space="0" w:color="auto"/>
        <w:right w:val="single" w:sz="6" w:space="0" w:color="auto"/>
      </w:tblBorders>
      <w:tblCellMar>
        <w:top w:w="3" w:type="dxa"/>
        <w:left w:w="108" w:type="dxa"/>
        <w:bottom w:w="3" w:type="dxa"/>
        <w:right w:w="108" w:type="dxa"/>
      </w:tblCellMar>
    </w:tblPr>
  </w:style>
  <w:style w:type="table" w:styleId="TableList8">
    <w:name w:val="Table List 8"/>
    <w:uiPriority w:val="99"/>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Professional">
    <w:name w:val="Table Professional"/>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Simple1">
    <w:name w:val="Table Simple 1"/>
    <w:uiPriority w:val="99"/>
    <w:rPr>
      <w:sz w:val="20"/>
      <w:szCs w:val="20"/>
    </w:rPr>
    <w:tblPr>
      <w:tblInd w:w="0" w:type="dxa"/>
      <w:tblBorders>
        <w:top w:val="single" w:sz="12" w:space="0" w:color="auto"/>
        <w:bottom w:val="single" w:sz="12" w:space="0" w:color="auto"/>
      </w:tblBorders>
      <w:tblCellMar>
        <w:top w:w="3" w:type="dxa"/>
        <w:left w:w="108" w:type="dxa"/>
        <w:bottom w:w="3" w:type="dxa"/>
        <w:right w:w="108" w:type="dxa"/>
      </w:tblCellMar>
    </w:tblPr>
  </w:style>
  <w:style w:type="table" w:styleId="TableSimple2">
    <w:name w:val="Table Simple 2"/>
    <w:uiPriority w:val="99"/>
    <w:rPr>
      <w:sz w:val="20"/>
      <w:szCs w:val="20"/>
    </w:rPr>
    <w:tblPr>
      <w:tblInd w:w="0" w:type="dxa"/>
      <w:tblCellMar>
        <w:top w:w="3" w:type="dxa"/>
        <w:left w:w="108" w:type="dxa"/>
        <w:bottom w:w="3" w:type="dxa"/>
        <w:right w:w="108" w:type="dxa"/>
      </w:tblCellMar>
    </w:tblPr>
  </w:style>
  <w:style w:type="table" w:styleId="TableSimple3">
    <w:name w:val="Table Simple 3"/>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Subtle1">
    <w:name w:val="Table Subtle 1"/>
    <w:uiPriority w:val="99"/>
    <w:rPr>
      <w:sz w:val="20"/>
      <w:szCs w:val="20"/>
    </w:rPr>
    <w:tblPr>
      <w:tblStyleRowBandSize w:val="1"/>
      <w:tblInd w:w="0" w:type="dxa"/>
      <w:tblCellMar>
        <w:top w:w="3" w:type="dxa"/>
        <w:left w:w="108" w:type="dxa"/>
        <w:bottom w:w="3" w:type="dxa"/>
        <w:right w:w="108" w:type="dxa"/>
      </w:tblCellMar>
    </w:tblPr>
  </w:style>
  <w:style w:type="table" w:styleId="TableSubtle2">
    <w:name w:val="Table Subtle 2"/>
    <w:uiPriority w:val="99"/>
    <w:rPr>
      <w:sz w:val="20"/>
      <w:szCs w:val="20"/>
    </w:rPr>
    <w:tblPr>
      <w:tblInd w:w="0" w:type="dxa"/>
      <w:tblBorders>
        <w:left w:val="single" w:sz="6" w:space="0" w:color="000000"/>
        <w:right w:val="single" w:sz="6" w:space="0" w:color="000000"/>
      </w:tblBorders>
      <w:tblCellMar>
        <w:top w:w="3" w:type="dxa"/>
        <w:left w:w="108" w:type="dxa"/>
        <w:bottom w:w="3" w:type="dxa"/>
        <w:right w:w="108" w:type="dxa"/>
      </w:tblCellMar>
    </w:tblPr>
  </w:style>
  <w:style w:type="table" w:styleId="TableTheme">
    <w:name w:val="Table Theme"/>
    <w:uiPriority w:val="99"/>
    <w:rPr>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rPr>
      <w:sz w:val="20"/>
      <w:szCs w:val="20"/>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style>
  <w:style w:type="table" w:styleId="TableWeb2">
    <w:name w:val="Table Web 2"/>
    <w:uiPriority w:val="99"/>
    <w:rPr>
      <w:sz w:val="20"/>
      <w:szCs w:val="20"/>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style>
  <w:style w:type="table" w:styleId="TableWeb3">
    <w:name w:val="Table Web 3"/>
    <w:uiPriority w:val="99"/>
    <w:rPr>
      <w:sz w:val="20"/>
      <w:szCs w:val="20"/>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style>
  <w:style w:type="numbering" w:styleId="ArticleSection">
    <w:name w:val="Outline List 3"/>
    <w:basedOn w:val="NoList"/>
    <w:uiPriority w:val="99"/>
    <w:unhideWhenUsed/>
    <w:pPr>
      <w:numPr>
        <w:numId w:val="27"/>
      </w:numPr>
    </w:pPr>
  </w:style>
  <w:style w:type="numbering" w:styleId="1ai">
    <w:name w:val="Outline List 1"/>
    <w:basedOn w:val="NoList"/>
    <w:uiPriority w:val="99"/>
    <w:unhideWhenUsed/>
    <w:pPr>
      <w:numPr>
        <w:numId w:val="29"/>
      </w:numPr>
    </w:pPr>
  </w:style>
  <w:style w:type="numbering" w:styleId="111111">
    <w:name w:val="Outline List 2"/>
    <w:basedOn w:val="NoList"/>
    <w:uiPriority w:val="99"/>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F2E7FC3-EBE3-4F03-A251-13B8DA0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conrad mehan</dc:creator>
  <cp:keywords>
  </cp:keywords>
  <dc:description>
  </dc:description>
  <cp:lastModifiedBy>conrad mehan</cp:lastModifiedBy>
  <cp:revision>2</cp:revision>
  <dcterms:created xsi:type="dcterms:W3CDTF">2014-02-01T15:39:00Z</dcterms:created>
  <dcterms:modified xsi:type="dcterms:W3CDTF">2014-02-01T15:39:00Z</dcterms:modified>
</cp:coreProperties>
</file>